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6272FF">
      <w:pPr>
        <w:pStyle w:val="a1"/>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00336F59" w:rsidRPr="0004538C">
        <w:t xml:space="preserve">WG4 Meeting </w:t>
      </w:r>
      <w:r w:rsidR="00336F59" w:rsidRPr="00FA639F">
        <w:t>#</w:t>
      </w:r>
      <w:r w:rsidR="00336F59" w:rsidRPr="007C4C4E">
        <w:t>10</w:t>
      </w:r>
      <w:r w:rsidR="00336F59">
        <w:t>8</w:t>
      </w:r>
      <w:r w:rsidR="004D1A8F">
        <w:t>-bis</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3C4E5D">
        <w:rPr>
          <w:rFonts w:eastAsia="宋体"/>
          <w:lang w:eastAsia="zh-CN"/>
        </w:rPr>
        <w:t xml:space="preserve">      </w:t>
      </w:r>
      <w:r w:rsidR="00AE16DB">
        <w:rPr>
          <w:rFonts w:eastAsia="宋体"/>
          <w:lang w:eastAsia="zh-CN"/>
        </w:rPr>
        <w:t xml:space="preserve"> </w:t>
      </w:r>
      <w:r w:rsidR="006E2A66" w:rsidRPr="006E2A66">
        <w:t>R4-2315240</w:t>
      </w:r>
      <w:bookmarkStart w:id="2" w:name="_GoBack"/>
      <w:bookmarkEnd w:id="2"/>
    </w:p>
    <w:p w:rsidR="00675C27" w:rsidRPr="00444A16" w:rsidRDefault="004D1A8F" w:rsidP="006272FF">
      <w:pPr>
        <w:pStyle w:val="a1"/>
        <w:jc w:val="both"/>
        <w:rPr>
          <w:rFonts w:eastAsia="宋体"/>
          <w:lang w:eastAsia="zh-CN"/>
        </w:rPr>
      </w:pPr>
      <w:r>
        <w:rPr>
          <w:rFonts w:eastAsia="宋体"/>
          <w:lang w:eastAsia="zh-CN"/>
        </w:rPr>
        <w:t>Xiamen</w:t>
      </w:r>
      <w:r w:rsidR="00336F59" w:rsidRPr="00336F59">
        <w:rPr>
          <w:rFonts w:eastAsia="宋体"/>
          <w:lang w:eastAsia="zh-CN"/>
        </w:rPr>
        <w:t>,</w:t>
      </w:r>
      <w:r>
        <w:rPr>
          <w:rFonts w:eastAsia="宋体"/>
          <w:lang w:eastAsia="zh-CN"/>
        </w:rPr>
        <w:t xml:space="preserve"> China,</w:t>
      </w:r>
      <w:r w:rsidR="00336F59" w:rsidRPr="00336F59">
        <w:rPr>
          <w:rFonts w:eastAsia="宋体"/>
          <w:lang w:eastAsia="zh-CN"/>
        </w:rPr>
        <w:t xml:space="preserve"> </w:t>
      </w:r>
      <w:r>
        <w:rPr>
          <w:rFonts w:eastAsia="宋体"/>
          <w:lang w:eastAsia="zh-CN"/>
        </w:rPr>
        <w:t>Oct</w:t>
      </w:r>
      <w:r w:rsidR="00336F59" w:rsidRPr="00336F59">
        <w:rPr>
          <w:rFonts w:eastAsia="宋体"/>
          <w:lang w:eastAsia="zh-CN"/>
        </w:rPr>
        <w:t xml:space="preserve"> </w:t>
      </w:r>
      <w:r>
        <w:rPr>
          <w:rFonts w:eastAsia="宋体"/>
          <w:lang w:eastAsia="zh-CN"/>
        </w:rPr>
        <w:t>09</w:t>
      </w:r>
      <w:r w:rsidR="00336F59" w:rsidRPr="00336F59">
        <w:rPr>
          <w:rFonts w:eastAsia="宋体"/>
          <w:lang w:eastAsia="zh-CN"/>
        </w:rPr>
        <w:t xml:space="preserve"> – </w:t>
      </w:r>
      <w:r>
        <w:rPr>
          <w:rFonts w:eastAsia="宋体"/>
          <w:lang w:eastAsia="zh-CN"/>
        </w:rPr>
        <w:t>13</w:t>
      </w:r>
      <w:r w:rsidR="00336F59" w:rsidRPr="00336F59">
        <w:rPr>
          <w:rFonts w:eastAsia="宋体"/>
          <w:lang w:eastAsia="zh-CN"/>
        </w:rPr>
        <w:t>, 2023</w:t>
      </w:r>
    </w:p>
    <w:p w:rsidR="00F71A33" w:rsidRPr="00F71A33" w:rsidRDefault="00F71A33" w:rsidP="006272FF">
      <w:pPr>
        <w:pStyle w:val="a1"/>
        <w:jc w:val="both"/>
        <w:rPr>
          <w:rFonts w:eastAsia="宋体"/>
          <w:lang w:eastAsia="zh-CN"/>
        </w:rPr>
      </w:pPr>
    </w:p>
    <w:p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C4E5D" w:rsidRPr="003C4E5D">
        <w:rPr>
          <w:rFonts w:ascii="Arial" w:hAnsi="Arial" w:cs="Arial"/>
          <w:sz w:val="22"/>
        </w:rPr>
        <w:t xml:space="preserve">Discussion on </w:t>
      </w:r>
      <w:r w:rsidR="00A9334A">
        <w:rPr>
          <w:rFonts w:ascii="Arial" w:hAnsi="Arial" w:cs="Arial"/>
          <w:sz w:val="22"/>
        </w:rPr>
        <w:t>new</w:t>
      </w:r>
      <w:r w:rsidR="00F818E7" w:rsidRPr="00F818E7">
        <w:rPr>
          <w:rFonts w:ascii="Arial" w:hAnsi="Arial" w:cs="Arial"/>
          <w:sz w:val="22"/>
        </w:rPr>
        <w:t xml:space="preserve"> </w:t>
      </w:r>
      <w:r w:rsidR="00540652" w:rsidRPr="00F818E7">
        <w:rPr>
          <w:rFonts w:ascii="Arial" w:hAnsi="Arial" w:cs="Arial"/>
          <w:sz w:val="22"/>
        </w:rPr>
        <w:t xml:space="preserve">TxD </w:t>
      </w:r>
      <w:r w:rsidR="00F818E7" w:rsidRPr="00F818E7">
        <w:rPr>
          <w:rFonts w:ascii="Arial" w:hAnsi="Arial" w:cs="Arial"/>
          <w:sz w:val="22"/>
        </w:rPr>
        <w:t>UE capability for 3T inter-band CA/DC</w:t>
      </w:r>
    </w:p>
    <w:p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4D1A8F" w:rsidRPr="004D1A8F">
        <w:rPr>
          <w:rFonts w:ascii="Arial" w:hAnsi="Arial" w:cs="Arial"/>
          <w:sz w:val="22"/>
        </w:rPr>
        <w:t>5.5.3.1</w:t>
      </w:r>
    </w:p>
    <w:p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0F111F">
        <w:rPr>
          <w:rFonts w:ascii="Arial" w:hAnsi="Arial" w:cs="Arial"/>
          <w:sz w:val="22"/>
        </w:rPr>
        <w:t>Approval</w:t>
      </w:r>
    </w:p>
    <w:bookmarkEnd w:id="0"/>
    <w:bookmarkEnd w:id="1"/>
    <w:p w:rsidR="00AD4188" w:rsidRDefault="00062E8E" w:rsidP="006272FF">
      <w:pPr>
        <w:pStyle w:val="Heading1"/>
        <w:spacing w:after="240"/>
        <w:jc w:val="both"/>
        <w:rPr>
          <w:rFonts w:eastAsia="宋体"/>
          <w:lang w:eastAsia="zh-CN"/>
        </w:rPr>
      </w:pPr>
      <w:r>
        <w:rPr>
          <w:rFonts w:eastAsia="宋体" w:hint="eastAsia"/>
          <w:lang w:eastAsia="zh-CN"/>
        </w:rPr>
        <w:t>Introduction</w:t>
      </w:r>
    </w:p>
    <w:p w:rsidR="00B9629D" w:rsidRDefault="00122D8D" w:rsidP="006272FF">
      <w:pPr>
        <w:jc w:val="both"/>
      </w:pPr>
      <w:r>
        <w:t>The</w:t>
      </w:r>
      <w:r w:rsidR="00355387">
        <w:t xml:space="preserve"> WI</w:t>
      </w:r>
      <w:r>
        <w:t xml:space="preserve"> for 3T4R</w:t>
      </w:r>
      <w:r w:rsidR="00355387">
        <w:t xml:space="preserve"> with objective</w:t>
      </w:r>
      <w:r>
        <w:t>s below</w:t>
      </w:r>
      <w:r w:rsidR="00B9629D">
        <w:t xml:space="preserve"> was </w:t>
      </w:r>
      <w:r>
        <w:t>approved</w:t>
      </w:r>
      <w:r w:rsidR="00B9629D">
        <w:t xml:space="preserve"> in RAN</w:t>
      </w:r>
      <w:r w:rsidR="00157AF8">
        <w:t xml:space="preserve">#98e </w:t>
      </w:r>
      <w:r w:rsidR="00B9629D">
        <w:t>meeting [1]:</w:t>
      </w:r>
    </w:p>
    <w:p w:rsidR="00CA6898" w:rsidRPr="00CA6898" w:rsidRDefault="00CA6898" w:rsidP="00CA6898">
      <w:pPr>
        <w:numPr>
          <w:ilvl w:val="0"/>
          <w:numId w:val="45"/>
        </w:numPr>
        <w:spacing w:after="0"/>
        <w:rPr>
          <w:rFonts w:eastAsia="等线"/>
          <w:b/>
          <w:i/>
          <w:lang w:eastAsia="en-GB"/>
        </w:rPr>
      </w:pPr>
      <w:r w:rsidRPr="00CA6898">
        <w:rPr>
          <w:rFonts w:eastAsia="等线"/>
          <w:b/>
          <w:i/>
          <w:lang w:eastAsia="en-GB"/>
        </w:rPr>
        <w:t xml:space="preserve">Enhancements of 3Tx for </w:t>
      </w:r>
      <w:r w:rsidRPr="00CA6898">
        <w:rPr>
          <w:rFonts w:eastAsia="等线"/>
          <w:b/>
          <w:i/>
        </w:rPr>
        <w:t>band combinations with two bands</w:t>
      </w:r>
    </w:p>
    <w:p w:rsidR="00CA6898" w:rsidRPr="00CA6898" w:rsidRDefault="00CA6898" w:rsidP="00CA6898">
      <w:pPr>
        <w:numPr>
          <w:ilvl w:val="1"/>
          <w:numId w:val="46"/>
        </w:numPr>
        <w:spacing w:after="0"/>
        <w:rPr>
          <w:rFonts w:eastAsia="等线"/>
          <w:i/>
          <w:lang w:eastAsia="en-GB"/>
        </w:rPr>
      </w:pPr>
      <w:r w:rsidRPr="00CA6898">
        <w:rPr>
          <w:rFonts w:eastAsia="等线"/>
          <w:i/>
          <w:lang w:eastAsia="en-GB"/>
        </w:rPr>
        <w:t>Two bands with inter-band UL CA or EN-DC are considered with below limitations:</w:t>
      </w:r>
    </w:p>
    <w:p w:rsidR="00CA6898" w:rsidRPr="00CA6898" w:rsidRDefault="00CA6898" w:rsidP="00CA6898">
      <w:pPr>
        <w:numPr>
          <w:ilvl w:val="2"/>
          <w:numId w:val="46"/>
        </w:numPr>
        <w:spacing w:after="0"/>
        <w:rPr>
          <w:rFonts w:eastAsia="等线"/>
          <w:i/>
          <w:lang w:eastAsia="en-GB"/>
        </w:rPr>
      </w:pPr>
      <w:r w:rsidRPr="00CA6898">
        <w:rPr>
          <w:rFonts w:eastAsia="等线"/>
          <w:i/>
          <w:lang w:eastAsia="en-GB"/>
        </w:rPr>
        <w:t>In each band only 1CC included</w:t>
      </w:r>
      <w:r w:rsidRPr="00CA6898">
        <w:rPr>
          <w:rFonts w:eastAsia="等线"/>
          <w:i/>
        </w:rPr>
        <w:t xml:space="preserve">. </w:t>
      </w:r>
      <w:r w:rsidRPr="00CA6898">
        <w:rPr>
          <w:rFonts w:eastAsia="等线" w:hint="eastAsia"/>
          <w:i/>
        </w:rPr>
        <w:t>T</w:t>
      </w:r>
      <w:r w:rsidRPr="00CA6898">
        <w:rPr>
          <w:rFonts w:eastAsia="等线"/>
          <w:i/>
        </w:rPr>
        <w:t>he Tx capability considered is 1Tx in one band, and 2Tx in the other band</w:t>
      </w:r>
    </w:p>
    <w:p w:rsidR="00CA6898" w:rsidRPr="00CA6898" w:rsidRDefault="00CA6898" w:rsidP="00CA6898">
      <w:pPr>
        <w:numPr>
          <w:ilvl w:val="2"/>
          <w:numId w:val="46"/>
        </w:numPr>
        <w:spacing w:after="0"/>
        <w:rPr>
          <w:rFonts w:eastAsia="等线"/>
          <w:i/>
          <w:lang w:eastAsia="en-GB"/>
        </w:rPr>
      </w:pPr>
      <w:r w:rsidRPr="00CA6898">
        <w:rPr>
          <w:rFonts w:eastAsia="等线" w:hint="eastAsia"/>
          <w:i/>
        </w:rPr>
        <w:t>T</w:t>
      </w:r>
      <w:r w:rsidRPr="00CA6898">
        <w:rPr>
          <w:rFonts w:eastAsia="等线"/>
          <w:i/>
        </w:rPr>
        <w:t>he following power capabilities will be considered</w:t>
      </w:r>
    </w:p>
    <w:p w:rsidR="00CA6898" w:rsidRPr="00CA6898" w:rsidRDefault="00CA6898" w:rsidP="00CA6898">
      <w:pPr>
        <w:numPr>
          <w:ilvl w:val="3"/>
          <w:numId w:val="47"/>
        </w:numPr>
        <w:spacing w:after="0"/>
        <w:ind w:left="1560" w:hanging="300"/>
        <w:rPr>
          <w:rFonts w:eastAsia="等线"/>
          <w:i/>
        </w:rPr>
      </w:pPr>
      <w:r w:rsidRPr="00CA6898">
        <w:rPr>
          <w:rFonts w:eastAsia="等线"/>
          <w:i/>
        </w:rPr>
        <w:t xml:space="preserve">  CA power class or EN-DC power class is PC2</w:t>
      </w:r>
    </w:p>
    <w:p w:rsidR="00CA6898" w:rsidRPr="00CA6898" w:rsidRDefault="00CA6898" w:rsidP="00CA6898">
      <w:pPr>
        <w:numPr>
          <w:ilvl w:val="4"/>
          <w:numId w:val="48"/>
        </w:numPr>
        <w:spacing w:after="0"/>
        <w:rPr>
          <w:rFonts w:eastAsia="等线"/>
          <w:i/>
        </w:rPr>
      </w:pPr>
      <w:r w:rsidRPr="00CA6898">
        <w:rPr>
          <w:rFonts w:eastAsia="等线"/>
          <w:i/>
        </w:rPr>
        <w:t>PC3 FDD band 1Tx + PC2 TDD band 2Tx (UL MIMO and TxD)</w:t>
      </w:r>
    </w:p>
    <w:p w:rsidR="00CA6898" w:rsidRPr="00CA6898" w:rsidRDefault="00CA6898" w:rsidP="00CA6898">
      <w:pPr>
        <w:numPr>
          <w:ilvl w:val="4"/>
          <w:numId w:val="48"/>
        </w:numPr>
        <w:spacing w:after="0"/>
        <w:rPr>
          <w:rFonts w:eastAsia="等线"/>
          <w:i/>
        </w:rPr>
      </w:pPr>
      <w:r w:rsidRPr="00CA6898">
        <w:rPr>
          <w:rFonts w:eastAsia="等线"/>
          <w:i/>
        </w:rPr>
        <w:t>PC3 FDD band 1Tx + PC3 TDD band 2Tx (UL MIMO)</w:t>
      </w:r>
    </w:p>
    <w:p w:rsidR="00CA6898" w:rsidRPr="00CA6898" w:rsidRDefault="00CA6898" w:rsidP="00CA6898">
      <w:pPr>
        <w:numPr>
          <w:ilvl w:val="4"/>
          <w:numId w:val="48"/>
        </w:numPr>
        <w:spacing w:after="0"/>
        <w:rPr>
          <w:rFonts w:eastAsia="等线"/>
          <w:i/>
        </w:rPr>
      </w:pPr>
      <w:r w:rsidRPr="00CA6898">
        <w:rPr>
          <w:rFonts w:eastAsia="等线"/>
          <w:i/>
        </w:rPr>
        <w:t>PC3 TDD band 1Tx + PC2 TDD band 2Tx (UL MIMO)</w:t>
      </w:r>
    </w:p>
    <w:p w:rsidR="00CA6898" w:rsidRPr="00CA6898" w:rsidRDefault="00CA6898" w:rsidP="00CA6898">
      <w:pPr>
        <w:numPr>
          <w:ilvl w:val="3"/>
          <w:numId w:val="47"/>
        </w:numPr>
        <w:spacing w:after="0"/>
        <w:rPr>
          <w:rFonts w:eastAsia="等线"/>
          <w:i/>
        </w:rPr>
      </w:pPr>
      <w:r w:rsidRPr="00CA6898">
        <w:rPr>
          <w:rFonts w:eastAsia="等线"/>
          <w:i/>
        </w:rPr>
        <w:t xml:space="preserve">  CA power class or EN-DC power class is PC1.5</w:t>
      </w:r>
    </w:p>
    <w:p w:rsidR="00CA6898" w:rsidRPr="00CA6898" w:rsidRDefault="00CA6898" w:rsidP="00CA6898">
      <w:pPr>
        <w:numPr>
          <w:ilvl w:val="4"/>
          <w:numId w:val="49"/>
        </w:numPr>
        <w:spacing w:after="0"/>
        <w:rPr>
          <w:rFonts w:eastAsia="等线"/>
          <w:i/>
        </w:rPr>
      </w:pPr>
      <w:r w:rsidRPr="00CA6898">
        <w:rPr>
          <w:rFonts w:eastAsia="等线"/>
          <w:i/>
        </w:rPr>
        <w:t>PC3 FDD band 1Tx + PC1.5 TDD band 2Tx (UL MIMO and TxD)</w:t>
      </w:r>
    </w:p>
    <w:p w:rsidR="009A089A" w:rsidRDefault="00157AF8" w:rsidP="00157AF8">
      <w:pPr>
        <w:spacing w:beforeLines="50" w:before="120"/>
        <w:jc w:val="both"/>
      </w:pPr>
      <w:r>
        <w:t xml:space="preserve">From the objective, we see that TxD is included from the very beginning of the WI. </w:t>
      </w:r>
      <w:r w:rsidR="00B9629D">
        <w:rPr>
          <w:lang w:val="x-none"/>
        </w:rPr>
        <w:t xml:space="preserve">This </w:t>
      </w:r>
      <w:r>
        <w:rPr>
          <w:lang w:val="x-none"/>
        </w:rPr>
        <w:t>paper</w:t>
      </w:r>
      <w:r w:rsidR="00B9629D">
        <w:rPr>
          <w:lang w:val="x-none"/>
        </w:rPr>
        <w:t xml:space="preserve"> provides </w:t>
      </w:r>
      <w:r>
        <w:rPr>
          <w:lang w:val="x-none"/>
        </w:rPr>
        <w:t>our</w:t>
      </w:r>
      <w:r w:rsidR="00A750D9">
        <w:rPr>
          <w:lang w:val="x-none"/>
        </w:rPr>
        <w:t xml:space="preserve"> </w:t>
      </w:r>
      <w:r>
        <w:rPr>
          <w:lang w:val="x-none"/>
        </w:rPr>
        <w:t>consideration to extend the TxD capability cover the inter-band case</w:t>
      </w:r>
      <w:r w:rsidR="00B9629D">
        <w:rPr>
          <w:lang w:val="x-none"/>
        </w:rPr>
        <w:t>.</w:t>
      </w:r>
    </w:p>
    <w:p w:rsidR="00062E8E" w:rsidRDefault="00062E8E" w:rsidP="006272FF">
      <w:pPr>
        <w:pStyle w:val="Heading1"/>
        <w:spacing w:after="240"/>
        <w:jc w:val="both"/>
        <w:rPr>
          <w:rFonts w:eastAsia="宋体"/>
          <w:lang w:eastAsia="zh-CN"/>
        </w:rPr>
      </w:pPr>
      <w:r>
        <w:rPr>
          <w:rFonts w:eastAsia="宋体" w:hint="eastAsia"/>
          <w:lang w:eastAsia="zh-CN"/>
        </w:rPr>
        <w:t>Discussion</w:t>
      </w:r>
    </w:p>
    <w:p w:rsidR="005369EE" w:rsidRDefault="00B36DC5" w:rsidP="006272FF">
      <w:pPr>
        <w:jc w:val="both"/>
        <w:rPr>
          <w:lang w:val="en-US"/>
        </w:rPr>
      </w:pPr>
      <w:r>
        <w:rPr>
          <w:rFonts w:hint="eastAsia"/>
          <w:lang w:val="en-US"/>
        </w:rPr>
        <w:t>T</w:t>
      </w:r>
      <w:r>
        <w:rPr>
          <w:lang w:val="en-US"/>
        </w:rPr>
        <w:t>x</w:t>
      </w:r>
      <w:r>
        <w:rPr>
          <w:rFonts w:hint="eastAsia"/>
          <w:lang w:val="en-US"/>
        </w:rPr>
        <w:t>D</w:t>
      </w:r>
      <w:r>
        <w:rPr>
          <w:lang w:val="en-US"/>
        </w:rPr>
        <w:t xml:space="preserve"> capability was introduced from Rel-16 in </w:t>
      </w:r>
      <w:r w:rsidRPr="00B36DC5">
        <w:rPr>
          <w:lang w:val="en-US"/>
        </w:rPr>
        <w:t xml:space="preserve">the section of </w:t>
      </w:r>
      <w:proofErr w:type="spellStart"/>
      <w:r w:rsidRPr="00B36DC5">
        <w:rPr>
          <w:lang w:val="en-US"/>
        </w:rPr>
        <w:t>BandNR</w:t>
      </w:r>
      <w:proofErr w:type="spellEnd"/>
      <w:r w:rsidRPr="00B36DC5">
        <w:rPr>
          <w:lang w:val="en-US"/>
        </w:rPr>
        <w:t xml:space="preserve"> parameters</w:t>
      </w:r>
      <w:r w:rsidR="00C8752E">
        <w:rPr>
          <w:lang w:val="en-US"/>
        </w:rPr>
        <w:t xml:space="preserve"> in TS 38.306</w:t>
      </w:r>
      <w:r>
        <w:rPr>
          <w:lang w:val="en-US"/>
        </w:rPr>
        <w:t xml:space="preserve"> [2]</w:t>
      </w:r>
      <w:r w:rsidRPr="00B36DC5">
        <w:rPr>
          <w:lang w:val="en-US"/>
        </w:rPr>
        <w:t>. The capability is per band and applies to FR1 only.</w:t>
      </w:r>
      <w:r w:rsidR="00361BA6">
        <w:rPr>
          <w:lang w:val="en-US"/>
        </w:rPr>
        <w:t xml:space="preser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61BA6" w:rsidRPr="00F4543C" w:rsidTr="0071229B">
        <w:trPr>
          <w:cantSplit/>
          <w:tblHeader/>
        </w:trPr>
        <w:tc>
          <w:tcPr>
            <w:tcW w:w="6917" w:type="dxa"/>
          </w:tcPr>
          <w:p w:rsidR="00361BA6" w:rsidRDefault="00361BA6" w:rsidP="0071229B">
            <w:pPr>
              <w:keepNext/>
              <w:keepLines/>
              <w:spacing w:after="0"/>
              <w:rPr>
                <w:rFonts w:ascii="Arial" w:hAnsi="Arial"/>
                <w:b/>
                <w:i/>
                <w:sz w:val="18"/>
              </w:rPr>
            </w:pPr>
            <w:r>
              <w:rPr>
                <w:rFonts w:ascii="Arial" w:hAnsi="Arial" w:hint="eastAsia"/>
                <w:b/>
                <w:i/>
                <w:sz w:val="18"/>
              </w:rPr>
              <w:t>txDiversity-r16</w:t>
            </w:r>
          </w:p>
          <w:p w:rsidR="00361BA6" w:rsidRPr="00F4543C" w:rsidRDefault="00361BA6" w:rsidP="0071229B">
            <w:pPr>
              <w:pStyle w:val="TAL"/>
              <w:rPr>
                <w:b/>
                <w:i/>
              </w:rPr>
            </w:pPr>
            <w:r w:rsidRPr="00692FE5">
              <w:rPr>
                <w:rFonts w:cs="Arial"/>
                <w:bCs/>
                <w:szCs w:val="18"/>
              </w:rPr>
              <w:t>Indicates whether</w:t>
            </w:r>
            <w:r>
              <w:rPr>
                <w:rFonts w:cs="Arial" w:hint="eastAsia"/>
                <w:bCs/>
                <w:szCs w:val="18"/>
              </w:rPr>
              <w:t xml:space="preserve"> the</w:t>
            </w:r>
            <w:r w:rsidRPr="00692FE5">
              <w:rPr>
                <w:rFonts w:cs="Arial"/>
                <w:bCs/>
                <w:szCs w:val="18"/>
              </w:rPr>
              <w:t xml:space="preserve"> UE supports </w:t>
            </w:r>
            <w:r>
              <w:rPr>
                <w:rFonts w:cs="Arial" w:hint="eastAsia"/>
                <w:bCs/>
                <w:szCs w:val="18"/>
              </w:rPr>
              <w:t>transparent Tx</w:t>
            </w:r>
            <w:r>
              <w:rPr>
                <w:rFonts w:cs="Arial"/>
                <w:bCs/>
                <w:szCs w:val="18"/>
              </w:rPr>
              <w:t xml:space="preserve"> diversity </w:t>
            </w:r>
            <w:r>
              <w:rPr>
                <w:rFonts w:cs="Arial" w:hint="eastAsia"/>
                <w:bCs/>
                <w:szCs w:val="18"/>
              </w:rPr>
              <w:t xml:space="preserve">requirements </w:t>
            </w:r>
            <w:r w:rsidRPr="00487412">
              <w:rPr>
                <w:rFonts w:cs="Arial"/>
                <w:bCs/>
                <w:szCs w:val="18"/>
              </w:rPr>
              <w:t xml:space="preserve">as specified in </w:t>
            </w:r>
            <w:r>
              <w:rPr>
                <w:rFonts w:cs="Arial" w:hint="eastAsia"/>
                <w:bCs/>
                <w:szCs w:val="18"/>
              </w:rPr>
              <w:t xml:space="preserve">the suffix G clauses of </w:t>
            </w:r>
            <w:r w:rsidRPr="00487412">
              <w:rPr>
                <w:rFonts w:cs="Arial"/>
                <w:bCs/>
                <w:szCs w:val="18"/>
              </w:rPr>
              <w:t>TS 38.101-</w:t>
            </w:r>
            <w:r>
              <w:rPr>
                <w:rFonts w:cs="Arial"/>
                <w:bCs/>
                <w:szCs w:val="18"/>
              </w:rPr>
              <w:t>1</w:t>
            </w:r>
            <w:r w:rsidRPr="00487412">
              <w:rPr>
                <w:rFonts w:cs="Arial"/>
                <w:bCs/>
                <w:szCs w:val="18"/>
              </w:rPr>
              <w:t xml:space="preserve"> [</w:t>
            </w:r>
            <w:r>
              <w:rPr>
                <w:rFonts w:cs="Arial"/>
                <w:bCs/>
                <w:szCs w:val="18"/>
              </w:rPr>
              <w:t>2</w:t>
            </w:r>
            <w:r w:rsidRPr="00487412">
              <w:rPr>
                <w:rFonts w:cs="Arial"/>
                <w:bCs/>
                <w:szCs w:val="18"/>
              </w:rPr>
              <w:t>]</w:t>
            </w:r>
            <w:r>
              <w:rPr>
                <w:rFonts w:cs="Arial" w:hint="eastAsia"/>
                <w:bCs/>
                <w:szCs w:val="18"/>
              </w:rPr>
              <w:t xml:space="preserve"> (see also clauses 4.2 and 4.3 of TS38.101-1 [2])</w:t>
            </w:r>
            <w:r>
              <w:rPr>
                <w:rFonts w:cs="Arial"/>
                <w:bCs/>
                <w:szCs w:val="18"/>
              </w:rPr>
              <w:t>.</w:t>
            </w:r>
          </w:p>
        </w:tc>
        <w:tc>
          <w:tcPr>
            <w:tcW w:w="709" w:type="dxa"/>
          </w:tcPr>
          <w:p w:rsidR="00361BA6" w:rsidRPr="00F4543C" w:rsidRDefault="00361BA6" w:rsidP="0071229B">
            <w:pPr>
              <w:pStyle w:val="TAL"/>
              <w:jc w:val="center"/>
            </w:pPr>
            <w:r>
              <w:rPr>
                <w:rFonts w:hint="eastAsia"/>
              </w:rPr>
              <w:t>Band</w:t>
            </w:r>
          </w:p>
        </w:tc>
        <w:tc>
          <w:tcPr>
            <w:tcW w:w="567" w:type="dxa"/>
          </w:tcPr>
          <w:p w:rsidR="00361BA6" w:rsidRPr="00F4543C" w:rsidRDefault="00361BA6" w:rsidP="0071229B">
            <w:pPr>
              <w:pStyle w:val="TAL"/>
              <w:jc w:val="center"/>
            </w:pPr>
            <w:r w:rsidRPr="00FD38B3">
              <w:rPr>
                <w:rFonts w:eastAsia="Times New Roman"/>
                <w:lang w:eastAsia="ja-JP"/>
              </w:rPr>
              <w:t>No</w:t>
            </w:r>
          </w:p>
        </w:tc>
        <w:tc>
          <w:tcPr>
            <w:tcW w:w="709" w:type="dxa"/>
          </w:tcPr>
          <w:p w:rsidR="00361BA6" w:rsidRPr="00F4543C" w:rsidRDefault="00361BA6" w:rsidP="0071229B">
            <w:pPr>
              <w:pStyle w:val="TAL"/>
              <w:jc w:val="center"/>
            </w:pPr>
            <w:r w:rsidRPr="00FD38B3">
              <w:rPr>
                <w:rFonts w:eastAsia="Times New Roman"/>
                <w:lang w:eastAsia="ja-JP"/>
              </w:rPr>
              <w:t>N/A</w:t>
            </w:r>
          </w:p>
        </w:tc>
        <w:tc>
          <w:tcPr>
            <w:tcW w:w="728" w:type="dxa"/>
          </w:tcPr>
          <w:p w:rsidR="00361BA6" w:rsidRPr="00F4543C" w:rsidRDefault="00361BA6" w:rsidP="0071229B">
            <w:pPr>
              <w:pStyle w:val="TAL"/>
              <w:jc w:val="center"/>
            </w:pPr>
            <w:r>
              <w:rPr>
                <w:rFonts w:hint="eastAsia"/>
              </w:rPr>
              <w:t>FR1 only</w:t>
            </w:r>
          </w:p>
        </w:tc>
      </w:tr>
    </w:tbl>
    <w:p w:rsidR="00361BA6" w:rsidRDefault="00C8752E" w:rsidP="00C8752E">
      <w:pPr>
        <w:spacing w:beforeLines="50" w:before="120"/>
        <w:jc w:val="both"/>
        <w:rPr>
          <w:lang w:val="en-US"/>
        </w:rPr>
      </w:pPr>
      <w:r>
        <w:rPr>
          <w:rFonts w:hint="eastAsia"/>
          <w:lang w:val="en-US"/>
        </w:rPr>
        <w:t>W</w:t>
      </w:r>
      <w:r>
        <w:rPr>
          <w:lang w:val="en-US"/>
        </w:rPr>
        <w:t>hile for the objective in the WI, TxD is supported for one of the band</w:t>
      </w:r>
      <w:r w:rsidR="00090D6E">
        <w:rPr>
          <w:lang w:val="en-US"/>
        </w:rPr>
        <w:t>s</w:t>
      </w:r>
      <w:r>
        <w:rPr>
          <w:lang w:val="en-US"/>
        </w:rPr>
        <w:t xml:space="preserve"> in a band combination, which if different from the original per band usage, in other words, the TxD capability</w:t>
      </w:r>
      <w:r w:rsidR="005D6B9D">
        <w:rPr>
          <w:lang w:val="en-US"/>
        </w:rPr>
        <w:t xml:space="preserve"> introduced in Rel-16</w:t>
      </w:r>
      <w:r>
        <w:rPr>
          <w:lang w:val="en-US"/>
        </w:rPr>
        <w:t xml:space="preserve"> is not applicable for the band combination case. </w:t>
      </w:r>
    </w:p>
    <w:p w:rsidR="005369EE" w:rsidRDefault="00090D6E" w:rsidP="006272FF">
      <w:pPr>
        <w:jc w:val="both"/>
        <w:rPr>
          <w:lang w:val="en-US" w:eastAsia="en-US"/>
        </w:rPr>
      </w:pPr>
      <w:r>
        <w:rPr>
          <w:rFonts w:hint="eastAsia"/>
          <w:lang w:val="en-US"/>
        </w:rPr>
        <w:t>Acc</w:t>
      </w:r>
      <w:r>
        <w:rPr>
          <w:lang w:val="en-US"/>
        </w:rPr>
        <w:t>ording to RAN2 spec, the appropriate indication for the per band per band combination TxD case is per feature set capability.</w:t>
      </w:r>
    </w:p>
    <w:tbl>
      <w:tblPr>
        <w:tblStyle w:val="TableGrid"/>
        <w:tblW w:w="0" w:type="auto"/>
        <w:tblLook w:val="04A0" w:firstRow="1" w:lastRow="0" w:firstColumn="1" w:lastColumn="0" w:noHBand="0" w:noVBand="1"/>
      </w:tblPr>
      <w:tblGrid>
        <w:gridCol w:w="9631"/>
      </w:tblGrid>
      <w:tr w:rsidR="00090D6E" w:rsidTr="00090D6E">
        <w:tc>
          <w:tcPr>
            <w:tcW w:w="9631" w:type="dxa"/>
          </w:tcPr>
          <w:p w:rsidR="00090D6E" w:rsidRPr="00090D6E" w:rsidRDefault="00090D6E" w:rsidP="0064353D">
            <w:pPr>
              <w:spacing w:after="0"/>
              <w:jc w:val="both"/>
            </w:pPr>
            <w:r w:rsidRPr="00BE555F">
              <w:t xml:space="preserve">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w:t>
            </w:r>
            <w:r w:rsidRPr="00090D6E">
              <w:rPr>
                <w:highlight w:val="yellow"/>
              </w:rPr>
              <w:t>"FS" indicates it is signalled per feature set (per band per band combination)</w:t>
            </w:r>
            <w:r w:rsidRPr="00BE555F">
              <w:t>, "FSPC" indicates it is signalled per feature set per component carrier (per CC per band per band combination), and "FD" in the column indicates to refer the associated field description.</w:t>
            </w:r>
          </w:p>
        </w:tc>
      </w:tr>
    </w:tbl>
    <w:p w:rsidR="00747077" w:rsidRDefault="00747077" w:rsidP="00090D6E">
      <w:pPr>
        <w:spacing w:beforeLines="50" w:before="120"/>
        <w:jc w:val="both"/>
      </w:pPr>
      <w:r>
        <w:t xml:space="preserve">Though it may be obvious that a 3T band combination, one of the </w:t>
      </w:r>
      <w:proofErr w:type="gramStart"/>
      <w:r>
        <w:t>band</w:t>
      </w:r>
      <w:proofErr w:type="gramEnd"/>
      <w:r>
        <w:t xml:space="preserve"> is implemented with 2Tx, but as both TxD and MIMO capability are optional, UE supporting TxD may not necessarily support UL MIMO</w:t>
      </w:r>
      <w:r w:rsidR="00176929">
        <w:t>, which is also reflected in the WID, as some band combinations with one band supporting 2Tx are just requested to support TxD w/o MIMO</w:t>
      </w:r>
      <w:r>
        <w:t xml:space="preserve">. A clear indication of 2T capability in a band combination would be helpful even from measurement perspective. </w:t>
      </w:r>
    </w:p>
    <w:p w:rsidR="00ED3BC9" w:rsidRPr="00747077" w:rsidRDefault="00ED3BC9" w:rsidP="00090D6E">
      <w:pPr>
        <w:spacing w:beforeLines="50" w:before="120"/>
        <w:jc w:val="both"/>
      </w:pPr>
      <w:r>
        <w:lastRenderedPageBreak/>
        <w:t xml:space="preserve">In addition, per the UE capability </w:t>
      </w:r>
      <w:r w:rsidR="008050CC">
        <w:t xml:space="preserve">structure in RAN2 spec, capabilities under </w:t>
      </w:r>
      <w:proofErr w:type="spellStart"/>
      <w:r w:rsidR="008050CC">
        <w:t>BandNR</w:t>
      </w:r>
      <w:proofErr w:type="spellEnd"/>
      <w:r w:rsidR="008050CC">
        <w:t xml:space="preserve">, e.g. txDiversity-r16, are in parallel with capabilities of </w:t>
      </w:r>
      <w:proofErr w:type="spellStart"/>
      <w:r w:rsidR="008050CC">
        <w:t>BandCombination</w:t>
      </w:r>
      <w:proofErr w:type="spellEnd"/>
      <w:r w:rsidR="008050CC">
        <w:t xml:space="preserve">, which means if no separate capability indicated via </w:t>
      </w:r>
      <w:proofErr w:type="spellStart"/>
      <w:r w:rsidR="008050CC">
        <w:t>featureSetCombination</w:t>
      </w:r>
      <w:proofErr w:type="spellEnd"/>
      <w:r w:rsidR="008050CC">
        <w:t xml:space="preserve">, say per band per </w:t>
      </w:r>
      <w:r w:rsidR="008050CC">
        <w:rPr>
          <w:rFonts w:hint="eastAsia"/>
        </w:rPr>
        <w:t>BC</w:t>
      </w:r>
      <w:r w:rsidR="008050CC">
        <w:t xml:space="preserve"> TxD similar to that of </w:t>
      </w:r>
      <w:r w:rsidR="008050CC" w:rsidRPr="008050CC">
        <w:rPr>
          <w:i/>
        </w:rPr>
        <w:t xml:space="preserve">ue-PowerClassPerBandPerBC-r17 </w:t>
      </w:r>
      <w:r w:rsidR="008050CC">
        <w:t xml:space="preserve">indicated in </w:t>
      </w:r>
      <w:proofErr w:type="spellStart"/>
      <w:r w:rsidR="008050CC">
        <w:t>FeatureSetUplink</w:t>
      </w:r>
      <w:proofErr w:type="spellEnd"/>
      <w:r w:rsidR="008050CC">
        <w:t xml:space="preserve"> for a NR band, the TxD capability advised for a NR band shall be supported for</w:t>
      </w:r>
      <w:r w:rsidR="006D4EA1">
        <w:t xml:space="preserve"> the NR band</w:t>
      </w:r>
      <w:r w:rsidR="00C57D3C">
        <w:t xml:space="preserve"> within</w:t>
      </w:r>
      <w:r w:rsidR="008050CC">
        <w:t xml:space="preserve"> all</w:t>
      </w:r>
      <w:r w:rsidR="00C57D3C">
        <w:t xml:space="preserve"> relevant</w:t>
      </w:r>
      <w:r w:rsidR="008050CC">
        <w:t xml:space="preserve"> band combinations, which obviously is not the case for all </w:t>
      </w:r>
      <w:r w:rsidR="00402D37">
        <w:t>viable</w:t>
      </w:r>
      <w:r w:rsidR="008050CC">
        <w:t xml:space="preserve"> UE implementations.</w:t>
      </w:r>
      <w:r w:rsidR="00C57D3C">
        <w:t xml:space="preserve"> Specifically, the UE may support more band combinations with a particular NR band supporting TxD, but not all these combos can support 3Tx.</w:t>
      </w:r>
    </w:p>
    <w:p w:rsidR="00BF70F6" w:rsidRPr="00090D6E" w:rsidRDefault="00090D6E" w:rsidP="00090D6E">
      <w:pPr>
        <w:spacing w:beforeLines="50" w:before="120"/>
        <w:jc w:val="both"/>
      </w:pPr>
      <w:r>
        <w:rPr>
          <w:rFonts w:hint="eastAsia"/>
        </w:rPr>
        <w:t>T</w:t>
      </w:r>
      <w:r>
        <w:t xml:space="preserve">herefore, a new per FS capability should be introduced for TxD under the 3T inter-band WI. Regarding the release to support the new UE capability, </w:t>
      </w:r>
      <w:r w:rsidR="00647AB7">
        <w:t xml:space="preserve">considering the granularity of per band TxD capability introduced from Rel-16 may not reflect the UE implementation appropriately, </w:t>
      </w:r>
      <w:r>
        <w:t xml:space="preserve">our preference is to introduce </w:t>
      </w:r>
      <w:r w:rsidR="00647AB7">
        <w:t>an additionally optional per FS</w:t>
      </w:r>
      <w:r>
        <w:t xml:space="preserve"> </w:t>
      </w:r>
      <w:r w:rsidR="00647AB7">
        <w:t xml:space="preserve">capability </w:t>
      </w:r>
      <w:r>
        <w:t>from Rel-1</w:t>
      </w:r>
      <w:r w:rsidR="00397871">
        <w:t>6</w:t>
      </w:r>
      <w:r>
        <w:t>.</w:t>
      </w:r>
    </w:p>
    <w:p w:rsidR="005369EE" w:rsidRDefault="005369EE" w:rsidP="006272FF">
      <w:pPr>
        <w:jc w:val="both"/>
        <w:rPr>
          <w:b/>
          <w:i/>
          <w:lang w:val="en-US" w:eastAsia="en-US"/>
        </w:rPr>
      </w:pPr>
      <w:r>
        <w:rPr>
          <w:b/>
          <w:i/>
          <w:lang w:val="en-US" w:eastAsia="en-US"/>
        </w:rPr>
        <w:t xml:space="preserve">Observation 1: </w:t>
      </w:r>
      <w:r w:rsidR="00090D6E">
        <w:rPr>
          <w:b/>
          <w:i/>
          <w:lang w:val="en-US" w:eastAsia="en-US"/>
        </w:rPr>
        <w:t>The TxD capability introduced from Rel-16 is per band indicated, which is not applicable for the case for the 3Tx inter-band scenario.</w:t>
      </w:r>
    </w:p>
    <w:p w:rsidR="00090D6E" w:rsidRDefault="00167F84" w:rsidP="006272FF">
      <w:pPr>
        <w:jc w:val="both"/>
        <w:rPr>
          <w:b/>
          <w:i/>
          <w:lang w:val="en-US" w:eastAsia="en-US"/>
        </w:rPr>
      </w:pPr>
      <w:r w:rsidRPr="005369EE">
        <w:rPr>
          <w:b/>
          <w:i/>
          <w:lang w:val="en-US" w:eastAsia="en-US"/>
        </w:rPr>
        <w:t>Proposal 1:</w:t>
      </w:r>
      <w:r w:rsidR="00090D6E">
        <w:rPr>
          <w:b/>
          <w:i/>
          <w:lang w:val="en-US" w:eastAsia="en-US"/>
        </w:rPr>
        <w:t xml:space="preserve"> A new per FS TxD capability </w:t>
      </w:r>
      <w:r w:rsidR="00647AB7">
        <w:rPr>
          <w:b/>
          <w:i/>
          <w:lang w:val="en-US" w:eastAsia="en-US"/>
        </w:rPr>
        <w:t>is</w:t>
      </w:r>
      <w:r w:rsidR="00090D6E">
        <w:rPr>
          <w:b/>
          <w:i/>
          <w:lang w:val="en-US" w:eastAsia="en-US"/>
        </w:rPr>
        <w:t xml:space="preserve"> introduced for inter-band combination CA/DC.</w:t>
      </w:r>
    </w:p>
    <w:p w:rsidR="00167F84" w:rsidRDefault="00090D6E" w:rsidP="006272FF">
      <w:pPr>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w:t>
      </w:r>
      <w:r>
        <w:rPr>
          <w:b/>
          <w:i/>
          <w:lang w:val="en-US" w:eastAsia="en-US"/>
        </w:rPr>
        <w:t xml:space="preserve"> It is proposed to introduce the new per FS TxD capability from Rel-1</w:t>
      </w:r>
      <w:r w:rsidR="00397871">
        <w:rPr>
          <w:b/>
          <w:i/>
          <w:lang w:val="en-US" w:eastAsia="en-US"/>
        </w:rPr>
        <w:t>6</w:t>
      </w:r>
      <w:r>
        <w:rPr>
          <w:b/>
          <w:i/>
          <w:lang w:val="en-US" w:eastAsia="en-US"/>
        </w:rPr>
        <w:t>.</w:t>
      </w:r>
    </w:p>
    <w:p w:rsidR="00090D6E" w:rsidRPr="00090D6E" w:rsidRDefault="00817EB2" w:rsidP="006272FF">
      <w:pPr>
        <w:jc w:val="both"/>
        <w:rPr>
          <w:lang w:val="en-US"/>
        </w:rPr>
      </w:pPr>
      <w:r>
        <w:rPr>
          <w:rFonts w:hint="eastAsia"/>
          <w:lang w:val="en-US"/>
        </w:rPr>
        <w:t>A</w:t>
      </w:r>
      <w:r>
        <w:rPr>
          <w:lang w:val="en-US"/>
        </w:rPr>
        <w:t xml:space="preserve"> draft LS in provided in the Annex to enable such a new UE capability.</w:t>
      </w:r>
    </w:p>
    <w:p w:rsidR="00A33E8E" w:rsidRDefault="00A33E8E" w:rsidP="006272FF">
      <w:pPr>
        <w:pStyle w:val="Heading1"/>
        <w:spacing w:after="240"/>
        <w:jc w:val="both"/>
        <w:rPr>
          <w:rFonts w:eastAsia="宋体"/>
          <w:lang w:eastAsia="zh-CN"/>
        </w:rPr>
      </w:pPr>
      <w:r>
        <w:rPr>
          <w:rFonts w:eastAsia="宋体" w:hint="eastAsia"/>
          <w:lang w:eastAsia="zh-CN"/>
        </w:rPr>
        <w:t>Conclusion</w:t>
      </w:r>
    </w:p>
    <w:p w:rsidR="00FC30F5" w:rsidRDefault="005369EE" w:rsidP="006272FF">
      <w:pPr>
        <w:jc w:val="both"/>
      </w:pPr>
      <w:r>
        <w:t xml:space="preserve">This contribution provides </w:t>
      </w:r>
      <w:r w:rsidR="00817EB2">
        <w:t xml:space="preserve">our consideration on a new per FS TxD capability to enable UE to indicate supporting per band per band combination TxD for an inter-band CA/DC combination. </w:t>
      </w:r>
    </w:p>
    <w:p w:rsidR="00817EB2" w:rsidRDefault="00817EB2" w:rsidP="00817EB2">
      <w:pPr>
        <w:jc w:val="both"/>
        <w:rPr>
          <w:b/>
          <w:i/>
          <w:lang w:val="en-US" w:eastAsia="en-US"/>
        </w:rPr>
      </w:pPr>
      <w:r>
        <w:rPr>
          <w:b/>
          <w:i/>
          <w:lang w:val="en-US" w:eastAsia="en-US"/>
        </w:rPr>
        <w:t>Observation 1: The TxD capability introduced from Rel-16 is per band indicated, which is not applicable for the case for the 3Tx inter-band scenario.</w:t>
      </w:r>
    </w:p>
    <w:p w:rsidR="00647AB7" w:rsidRDefault="00647AB7" w:rsidP="00647AB7">
      <w:pPr>
        <w:jc w:val="both"/>
        <w:rPr>
          <w:b/>
          <w:i/>
          <w:lang w:val="en-US" w:eastAsia="en-US"/>
        </w:rPr>
      </w:pPr>
      <w:r w:rsidRPr="005369EE">
        <w:rPr>
          <w:b/>
          <w:i/>
          <w:lang w:val="en-US" w:eastAsia="en-US"/>
        </w:rPr>
        <w:t>Proposal 1:</w:t>
      </w:r>
      <w:r>
        <w:rPr>
          <w:b/>
          <w:i/>
          <w:lang w:val="en-US" w:eastAsia="en-US"/>
        </w:rPr>
        <w:t xml:space="preserve"> A new per FS TxD capability is introduced for inter-band combination CA/DC.</w:t>
      </w:r>
    </w:p>
    <w:p w:rsidR="00817EB2" w:rsidRDefault="00817EB2" w:rsidP="00817EB2">
      <w:pPr>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w:t>
      </w:r>
      <w:r>
        <w:rPr>
          <w:b/>
          <w:i/>
          <w:lang w:val="en-US" w:eastAsia="en-US"/>
        </w:rPr>
        <w:t xml:space="preserve"> It is proposed to introduce the new per FS TxD capability from Rel-1</w:t>
      </w:r>
      <w:r w:rsidR="001258D2">
        <w:rPr>
          <w:b/>
          <w:i/>
          <w:lang w:val="en-US" w:eastAsia="en-US"/>
        </w:rPr>
        <w:t>6</w:t>
      </w:r>
      <w:r>
        <w:rPr>
          <w:b/>
          <w:i/>
          <w:lang w:val="en-US" w:eastAsia="en-US"/>
        </w:rPr>
        <w:t>.</w:t>
      </w:r>
    </w:p>
    <w:p w:rsidR="005369EE" w:rsidRPr="005369EE" w:rsidRDefault="00817EB2" w:rsidP="006272FF">
      <w:pPr>
        <w:jc w:val="both"/>
        <w:rPr>
          <w:b/>
          <w:i/>
          <w:lang w:val="en-US" w:eastAsia="en-US"/>
        </w:rPr>
      </w:pPr>
      <w:r>
        <w:rPr>
          <w:b/>
          <w:i/>
          <w:lang w:val="en-US" w:eastAsia="en-US"/>
        </w:rPr>
        <w:t xml:space="preserve">Proposal 3: </w:t>
      </w:r>
      <w:proofErr w:type="gramStart"/>
      <w:r>
        <w:rPr>
          <w:b/>
          <w:i/>
          <w:lang w:val="en-US" w:eastAsia="en-US"/>
        </w:rPr>
        <w:t>An</w:t>
      </w:r>
      <w:proofErr w:type="gramEnd"/>
      <w:r>
        <w:rPr>
          <w:b/>
          <w:i/>
          <w:lang w:val="en-US" w:eastAsia="en-US"/>
        </w:rPr>
        <w:t xml:space="preserve"> LS should be sent to RAN2 to introduce a per FS TxD capability</w:t>
      </w:r>
      <w:r w:rsidR="005369EE" w:rsidRPr="005369EE">
        <w:rPr>
          <w:b/>
          <w:i/>
          <w:lang w:val="en-US" w:eastAsia="en-US"/>
        </w:rPr>
        <w:t>.</w:t>
      </w:r>
    </w:p>
    <w:p w:rsidR="00B22DA6" w:rsidRDefault="00B22DA6" w:rsidP="006272FF">
      <w:pPr>
        <w:pStyle w:val="Heading1"/>
        <w:numPr>
          <w:ilvl w:val="0"/>
          <w:numId w:val="0"/>
        </w:numPr>
        <w:jc w:val="both"/>
        <w:rPr>
          <w:rFonts w:eastAsia="宋体"/>
          <w:lang w:eastAsia="zh-CN"/>
        </w:rPr>
      </w:pPr>
      <w:r>
        <w:t>References</w:t>
      </w:r>
    </w:p>
    <w:p w:rsidR="00355387" w:rsidRDefault="0035262B" w:rsidP="006272FF">
      <w:pPr>
        <w:jc w:val="both"/>
        <w:rPr>
          <w:lang w:eastAsia="ja-JP"/>
        </w:rPr>
      </w:pPr>
      <w:r>
        <w:rPr>
          <w:rFonts w:hint="eastAsia"/>
        </w:rPr>
        <w:t>[1]</w:t>
      </w:r>
      <w:r w:rsidR="005369EE">
        <w:t xml:space="preserve"> </w:t>
      </w:r>
      <w:r w:rsidR="00122D8D" w:rsidRPr="00122D8D">
        <w:rPr>
          <w:lang w:eastAsia="ja-JP"/>
        </w:rPr>
        <w:t>RP-223517</w:t>
      </w:r>
      <w:r w:rsidR="00122D8D">
        <w:rPr>
          <w:lang w:eastAsia="ja-JP"/>
        </w:rPr>
        <w:t>,</w:t>
      </w:r>
      <w:r w:rsidR="00122D8D" w:rsidRPr="00122D8D">
        <w:rPr>
          <w:lang w:eastAsia="ja-JP"/>
        </w:rPr>
        <w:t xml:space="preserve"> Low NR band 4Rx for handheld UE and 3Tx for inter-band UL CA and EN-DC</w:t>
      </w:r>
      <w:r w:rsidR="00122D8D">
        <w:rPr>
          <w:lang w:eastAsia="ja-JP"/>
        </w:rPr>
        <w:t>, OPPO</w:t>
      </w:r>
    </w:p>
    <w:p w:rsidR="00202F1E" w:rsidRDefault="00202F1E" w:rsidP="006272FF">
      <w:pPr>
        <w:jc w:val="both"/>
        <w:rPr>
          <w:rFonts w:eastAsiaTheme="minorEastAsia"/>
        </w:rPr>
      </w:pPr>
      <w:r>
        <w:rPr>
          <w:rFonts w:eastAsiaTheme="minorEastAsia" w:hint="eastAsia"/>
        </w:rPr>
        <w:t>[</w:t>
      </w:r>
      <w:r>
        <w:rPr>
          <w:rFonts w:eastAsiaTheme="minorEastAsia"/>
        </w:rPr>
        <w:t xml:space="preserve">2] </w:t>
      </w:r>
      <w:r w:rsidRPr="00202F1E">
        <w:rPr>
          <w:rFonts w:eastAsiaTheme="minorEastAsia"/>
        </w:rPr>
        <w:t>R2-2111503</w:t>
      </w:r>
      <w:r>
        <w:rPr>
          <w:rFonts w:eastAsiaTheme="minorEastAsia"/>
        </w:rPr>
        <w:t>,</w:t>
      </w:r>
      <w:r w:rsidRPr="00202F1E">
        <w:rPr>
          <w:rFonts w:eastAsiaTheme="minorEastAsia"/>
        </w:rPr>
        <w:t xml:space="preserve"> CR on 38.306 for introducing UE capability of </w:t>
      </w:r>
      <w:proofErr w:type="spellStart"/>
      <w:r w:rsidRPr="00202F1E">
        <w:rPr>
          <w:rFonts w:eastAsiaTheme="minorEastAsia"/>
        </w:rPr>
        <w:t>txDiversity</w:t>
      </w:r>
      <w:proofErr w:type="spellEnd"/>
      <w:r>
        <w:rPr>
          <w:rFonts w:eastAsiaTheme="minorEastAsia"/>
        </w:rPr>
        <w:t xml:space="preserve">, </w:t>
      </w:r>
      <w:r w:rsidRPr="00202F1E">
        <w:rPr>
          <w:rFonts w:eastAsiaTheme="minorEastAsia"/>
        </w:rPr>
        <w:t>CMCC, CATT, China Telecom, China Unicom. Huawei, HiSilicon, OPPO, vivo</w:t>
      </w:r>
    </w:p>
    <w:p w:rsidR="00817EB2" w:rsidRDefault="00817EB2" w:rsidP="006272FF">
      <w:pPr>
        <w:jc w:val="both"/>
        <w:rPr>
          <w:rFonts w:eastAsiaTheme="minorEastAsia"/>
        </w:rPr>
      </w:pPr>
    </w:p>
    <w:p w:rsidR="00817EB2" w:rsidRDefault="00817EB2" w:rsidP="00817EB2">
      <w:pPr>
        <w:pStyle w:val="Heading1"/>
        <w:numPr>
          <w:ilvl w:val="0"/>
          <w:numId w:val="0"/>
        </w:numPr>
        <w:jc w:val="both"/>
        <w:rPr>
          <w:rFonts w:eastAsia="宋体"/>
          <w:lang w:eastAsia="zh-CN"/>
        </w:rPr>
      </w:pPr>
      <w:r>
        <w:t>Annex</w:t>
      </w:r>
      <w:r w:rsidR="005E32C2">
        <w:t xml:space="preserve"> </w:t>
      </w:r>
      <w:r w:rsidR="005E32C2" w:rsidRPr="005E32C2">
        <w:t>(draft LS to RAN2)</w:t>
      </w:r>
    </w:p>
    <w:p w:rsidR="005E32C2" w:rsidRPr="00DC0C95" w:rsidRDefault="005E32C2" w:rsidP="005E32C2">
      <w:pPr>
        <w:spacing w:after="60"/>
        <w:ind w:left="1985" w:hanging="1985"/>
        <w:rPr>
          <w:rFonts w:ascii="Arial" w:hAnsi="Arial" w:cs="Arial"/>
        </w:rPr>
      </w:pPr>
      <w:r>
        <w:rPr>
          <w:rFonts w:ascii="Arial" w:hAnsi="Arial" w:cs="Arial"/>
          <w:b/>
        </w:rPr>
        <w:t>Title:</w:t>
      </w:r>
      <w:r>
        <w:rPr>
          <w:rFonts w:ascii="Arial" w:hAnsi="Arial" w:cs="Arial"/>
          <w:b/>
        </w:rPr>
        <w:tab/>
      </w:r>
      <w:r w:rsidRPr="001779BE">
        <w:rPr>
          <w:rFonts w:ascii="Arial" w:hAnsi="Arial" w:cs="Arial"/>
        </w:rPr>
        <w:t xml:space="preserve">draft </w:t>
      </w:r>
      <w:r w:rsidRPr="006454F7">
        <w:rPr>
          <w:rFonts w:ascii="Arial" w:hAnsi="Arial" w:cs="Arial"/>
          <w:bCs/>
        </w:rPr>
        <w:t>LS o</w:t>
      </w:r>
      <w:r w:rsidRPr="00DC0C95">
        <w:rPr>
          <w:rFonts w:ascii="Arial" w:hAnsi="Arial" w:cs="Arial"/>
        </w:rPr>
        <w:t xml:space="preserve">n </w:t>
      </w:r>
      <w:r>
        <w:rPr>
          <w:rFonts w:ascii="Arial" w:hAnsi="Arial" w:cs="Arial"/>
        </w:rPr>
        <w:t>new TxD capability for an inter-band CA/DC combination</w:t>
      </w:r>
    </w:p>
    <w:p w:rsidR="005E32C2" w:rsidRDefault="005E32C2" w:rsidP="005E32C2">
      <w:pPr>
        <w:spacing w:after="60"/>
        <w:ind w:left="1985" w:hanging="1985"/>
        <w:rPr>
          <w:rFonts w:ascii="Arial" w:hAnsi="Arial" w:cs="Arial"/>
          <w:bCs/>
        </w:rPr>
      </w:pPr>
      <w:r>
        <w:rPr>
          <w:rFonts w:ascii="Arial" w:hAnsi="Arial" w:cs="Arial"/>
          <w:b/>
        </w:rPr>
        <w:t>Response to:</w:t>
      </w:r>
      <w:r>
        <w:rPr>
          <w:rFonts w:ascii="Arial" w:hAnsi="Arial" w:cs="Arial"/>
          <w:bCs/>
        </w:rPr>
        <w:tab/>
      </w:r>
    </w:p>
    <w:p w:rsidR="005E32C2" w:rsidRDefault="005E32C2" w:rsidP="005E32C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Pr>
          <w:rFonts w:ascii="Arial" w:hAnsi="Arial" w:cs="Arial"/>
          <w:bCs/>
        </w:rPr>
        <w:t>8</w:t>
      </w:r>
    </w:p>
    <w:p w:rsidR="005E32C2" w:rsidRDefault="005E32C2" w:rsidP="005E32C2">
      <w:pPr>
        <w:spacing w:after="60"/>
        <w:ind w:left="1985" w:hanging="1985"/>
        <w:rPr>
          <w:rFonts w:ascii="Arial" w:hAnsi="Arial" w:cs="Arial"/>
          <w:bCs/>
        </w:rPr>
      </w:pPr>
      <w:r>
        <w:rPr>
          <w:rFonts w:ascii="Arial" w:hAnsi="Arial" w:cs="Arial"/>
          <w:b/>
        </w:rPr>
        <w:t>Work Item:</w:t>
      </w:r>
      <w:r>
        <w:rPr>
          <w:rFonts w:ascii="Arial" w:hAnsi="Arial" w:cs="Arial"/>
          <w:bCs/>
        </w:rPr>
        <w:tab/>
      </w:r>
      <w:r w:rsidRPr="00176929">
        <w:rPr>
          <w:rFonts w:ascii="Arial" w:hAnsi="Arial" w:cs="Arial"/>
          <w:bCs/>
        </w:rPr>
        <w:t>4Rx_low_NR_band_handheld_3Tx_NR_CA_ENDC-Core</w:t>
      </w:r>
    </w:p>
    <w:p w:rsidR="005E32C2" w:rsidRDefault="005E32C2" w:rsidP="005E32C2">
      <w:pPr>
        <w:spacing w:after="60"/>
        <w:ind w:left="1985" w:hanging="1985"/>
        <w:rPr>
          <w:rFonts w:ascii="Arial" w:hAnsi="Arial" w:cs="Arial"/>
          <w:b/>
        </w:rPr>
      </w:pPr>
    </w:p>
    <w:p w:rsidR="005E32C2" w:rsidRDefault="005E32C2" w:rsidP="005E32C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5E32C2" w:rsidRDefault="005E32C2" w:rsidP="005E32C2">
      <w:pPr>
        <w:spacing w:after="60"/>
        <w:ind w:left="1985" w:hanging="1985"/>
        <w:rPr>
          <w:rFonts w:ascii="Arial" w:hAnsi="Arial" w:cs="Arial"/>
          <w:bCs/>
        </w:rPr>
      </w:pPr>
      <w:r>
        <w:rPr>
          <w:rFonts w:ascii="Arial" w:hAnsi="Arial" w:cs="Arial"/>
          <w:b/>
        </w:rPr>
        <w:t>To:</w:t>
      </w:r>
      <w:r>
        <w:rPr>
          <w:rFonts w:ascii="Arial" w:hAnsi="Arial" w:cs="Arial"/>
          <w:bCs/>
        </w:rPr>
        <w:tab/>
        <w:t>RAN2</w:t>
      </w:r>
    </w:p>
    <w:p w:rsidR="005E32C2" w:rsidRDefault="005E32C2" w:rsidP="005E32C2">
      <w:pPr>
        <w:spacing w:after="60"/>
        <w:ind w:left="1985" w:hanging="1985"/>
        <w:rPr>
          <w:rFonts w:ascii="Arial" w:hAnsi="Arial" w:cs="Arial"/>
          <w:bCs/>
        </w:rPr>
      </w:pPr>
      <w:r>
        <w:rPr>
          <w:rFonts w:ascii="Arial" w:hAnsi="Arial" w:cs="Arial"/>
          <w:b/>
        </w:rPr>
        <w:t>Cc:</w:t>
      </w:r>
      <w:r>
        <w:rPr>
          <w:rFonts w:ascii="Arial" w:hAnsi="Arial" w:cs="Arial"/>
          <w:bCs/>
        </w:rPr>
        <w:tab/>
      </w:r>
    </w:p>
    <w:p w:rsidR="005E32C2" w:rsidRPr="00296941" w:rsidRDefault="005E32C2" w:rsidP="005E32C2">
      <w:pPr>
        <w:spacing w:after="60"/>
        <w:ind w:left="1985" w:hanging="1985"/>
        <w:rPr>
          <w:rFonts w:ascii="Arial" w:hAnsi="Arial" w:cs="Arial"/>
          <w:bCs/>
        </w:rPr>
      </w:pPr>
    </w:p>
    <w:p w:rsidR="005E32C2" w:rsidRPr="000F4E43" w:rsidRDefault="005E32C2" w:rsidP="005E32C2">
      <w:pPr>
        <w:spacing w:after="0"/>
        <w:rPr>
          <w:rFonts w:ascii="Arial" w:hAnsi="Arial" w:cs="Arial"/>
          <w:bCs/>
        </w:rPr>
      </w:pPr>
      <w:r w:rsidRPr="000F4E43">
        <w:rPr>
          <w:rFonts w:ascii="Arial" w:hAnsi="Arial" w:cs="Arial"/>
          <w:b/>
        </w:rPr>
        <w:lastRenderedPageBreak/>
        <w:t>Contact Person:</w:t>
      </w:r>
      <w:r>
        <w:rPr>
          <w:rFonts w:ascii="Arial" w:hAnsi="Arial" w:cs="Arial"/>
          <w:bCs/>
        </w:rPr>
        <w:tab/>
      </w:r>
      <w:r>
        <w:rPr>
          <w:rFonts w:ascii="Arial" w:hAnsi="Arial" w:cs="Arial"/>
          <w:bCs/>
        </w:rPr>
        <w:tab/>
      </w:r>
    </w:p>
    <w:p w:rsidR="005E32C2" w:rsidRPr="00913263" w:rsidRDefault="005E32C2" w:rsidP="005E32C2">
      <w:pPr>
        <w:spacing w:after="60"/>
        <w:ind w:left="2553" w:hanging="565"/>
        <w:rPr>
          <w:rFonts w:ascii="Arial" w:hAnsi="Arial" w:cs="Arial"/>
          <w:b/>
        </w:rPr>
      </w:pPr>
      <w:r w:rsidRPr="00913263">
        <w:rPr>
          <w:rFonts w:ascii="Arial" w:hAnsi="Arial" w:cs="Arial"/>
          <w:b/>
        </w:rPr>
        <w:t xml:space="preserve">Name: </w:t>
      </w:r>
      <w:r>
        <w:rPr>
          <w:rFonts w:ascii="Arial" w:hAnsi="Arial" w:cs="Arial"/>
          <w:b/>
        </w:rPr>
        <w:tab/>
      </w:r>
    </w:p>
    <w:p w:rsidR="005E32C2" w:rsidRPr="00913263" w:rsidRDefault="005E32C2" w:rsidP="005E32C2">
      <w:pPr>
        <w:spacing w:after="60"/>
        <w:ind w:left="2553" w:hanging="565"/>
        <w:rPr>
          <w:rFonts w:ascii="Arial" w:hAnsi="Arial" w:cs="Arial"/>
          <w:color w:val="0000FF"/>
        </w:rPr>
      </w:pPr>
      <w:r w:rsidRPr="00913263">
        <w:rPr>
          <w:rFonts w:ascii="Arial" w:hAnsi="Arial" w:cs="Arial"/>
          <w:b/>
          <w:color w:val="0000FF"/>
        </w:rPr>
        <w:t xml:space="preserve">E-mail Address: </w:t>
      </w:r>
      <w:r>
        <w:rPr>
          <w:rFonts w:ascii="Arial" w:hAnsi="Arial" w:cs="Arial"/>
          <w:b/>
          <w:color w:val="0000FF"/>
        </w:rPr>
        <w:tab/>
      </w:r>
    </w:p>
    <w:p w:rsidR="005E32C2" w:rsidRDefault="005E32C2" w:rsidP="005E32C2">
      <w:pPr>
        <w:spacing w:after="60"/>
        <w:ind w:left="1985" w:hanging="1985"/>
        <w:rPr>
          <w:rFonts w:ascii="Arial" w:hAnsi="Arial" w:cs="Arial"/>
          <w:b/>
        </w:rPr>
      </w:pPr>
    </w:p>
    <w:p w:rsidR="005E32C2" w:rsidRPr="000F4E43" w:rsidRDefault="005E32C2" w:rsidP="005E32C2">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p>
    <w:p w:rsidR="005E32C2" w:rsidRDefault="005E32C2" w:rsidP="005E32C2">
      <w:pPr>
        <w:pStyle w:val="LGTdoc"/>
        <w:spacing w:afterLines="0"/>
        <w:rPr>
          <w:rFonts w:ascii="Arial" w:hAnsi="Arial" w:cs="Arial"/>
          <w:b/>
        </w:rPr>
      </w:pPr>
    </w:p>
    <w:p w:rsidR="005E32C2" w:rsidRDefault="005E32C2" w:rsidP="005E32C2">
      <w:pPr>
        <w:pStyle w:val="LGTdoc"/>
        <w:spacing w:afterLines="0"/>
        <w:rPr>
          <w:rFonts w:ascii="Arial" w:hAnsi="Arial" w:cs="Arial"/>
          <w:sz w:val="21"/>
        </w:rPr>
      </w:pPr>
      <w:r w:rsidRPr="00DC72D3">
        <w:rPr>
          <w:rFonts w:ascii="Arial" w:hAnsi="Arial" w:cs="Arial"/>
          <w:b/>
          <w:sz w:val="21"/>
        </w:rPr>
        <w:t>Attachments</w:t>
      </w:r>
      <w:r w:rsidRPr="00DC72D3">
        <w:rPr>
          <w:rFonts w:ascii="Arial" w:hAnsi="Arial" w:cs="Arial"/>
          <w:sz w:val="21"/>
        </w:rPr>
        <w:t>:</w:t>
      </w:r>
      <w:r w:rsidRPr="00DC72D3">
        <w:rPr>
          <w:rFonts w:ascii="Arial" w:hAnsi="Arial" w:cs="Arial"/>
          <w:sz w:val="21"/>
        </w:rPr>
        <w:tab/>
        <w:t>N/A</w:t>
      </w:r>
    </w:p>
    <w:p w:rsidR="005E32C2" w:rsidRPr="000F4E43" w:rsidRDefault="005E32C2" w:rsidP="005E32C2">
      <w:pPr>
        <w:pBdr>
          <w:bottom w:val="single" w:sz="4" w:space="1" w:color="auto"/>
        </w:pBdr>
        <w:rPr>
          <w:rFonts w:ascii="Arial" w:hAnsi="Arial" w:cs="Arial"/>
        </w:rPr>
      </w:pPr>
    </w:p>
    <w:p w:rsidR="005E32C2" w:rsidRPr="000F4E43" w:rsidRDefault="005E32C2" w:rsidP="005E32C2">
      <w:pPr>
        <w:spacing w:afterLines="50" w:after="120"/>
        <w:rPr>
          <w:rFonts w:ascii="Arial" w:hAnsi="Arial" w:cs="Arial"/>
          <w:b/>
        </w:rPr>
      </w:pPr>
      <w:r w:rsidRPr="000F4E43">
        <w:rPr>
          <w:rFonts w:ascii="Arial" w:hAnsi="Arial" w:cs="Arial"/>
          <w:b/>
        </w:rPr>
        <w:t>1. Overall Description:</w:t>
      </w:r>
    </w:p>
    <w:p w:rsidR="005E32C2" w:rsidRDefault="005E32C2" w:rsidP="005E32C2">
      <w:pPr>
        <w:pStyle w:val="Header"/>
        <w:jc w:val="both"/>
        <w:rPr>
          <w:rFonts w:eastAsia="宋体" w:cs="Arial"/>
          <w:b w:val="0"/>
          <w:noProof w:val="0"/>
          <w:sz w:val="20"/>
          <w:lang w:eastAsia="zh-CN"/>
        </w:rPr>
      </w:pPr>
      <w:r>
        <w:rPr>
          <w:rFonts w:eastAsia="宋体" w:cs="Arial"/>
          <w:b w:val="0"/>
          <w:noProof w:val="0"/>
          <w:sz w:val="20"/>
          <w:lang w:eastAsia="zh-CN"/>
        </w:rPr>
        <w:t>TxD was introduced from Rel-16 as a per band UE capability</w:t>
      </w:r>
      <w:r w:rsidRPr="00243049">
        <w:rPr>
          <w:rFonts w:eastAsia="宋体" w:cs="Arial"/>
          <w:b w:val="0"/>
          <w:noProof w:val="0"/>
          <w:sz w:val="20"/>
          <w:lang w:eastAsia="zh-CN"/>
        </w:rPr>
        <w:t>.</w:t>
      </w:r>
      <w:r>
        <w:rPr>
          <w:rFonts w:eastAsia="宋体" w:cs="Arial"/>
          <w:b w:val="0"/>
          <w:noProof w:val="0"/>
          <w:sz w:val="20"/>
          <w:lang w:eastAsia="zh-CN"/>
        </w:rPr>
        <w:t xml:space="preserve"> While in Rel-18, a new WI on 3Tx for inter-band CA/DC was approved, in which one of the </w:t>
      </w:r>
      <w:r w:rsidR="00F72DFB">
        <w:rPr>
          <w:rFonts w:eastAsia="宋体" w:cs="Arial"/>
          <w:b w:val="0"/>
          <w:noProof w:val="0"/>
          <w:sz w:val="20"/>
          <w:lang w:eastAsia="zh-CN"/>
        </w:rPr>
        <w:t>objectives</w:t>
      </w:r>
      <w:r>
        <w:rPr>
          <w:rFonts w:eastAsia="宋体" w:cs="Arial"/>
          <w:b w:val="0"/>
          <w:noProof w:val="0"/>
          <w:sz w:val="20"/>
          <w:lang w:eastAsia="zh-CN"/>
        </w:rPr>
        <w:t xml:space="preserve"> is to introduce requirements for the cases of:</w:t>
      </w:r>
    </w:p>
    <w:p w:rsidR="005E32C2" w:rsidRDefault="005E32C2" w:rsidP="005E32C2">
      <w:pPr>
        <w:pStyle w:val="Header"/>
        <w:jc w:val="both"/>
        <w:rPr>
          <w:rFonts w:eastAsia="宋体" w:cs="Arial"/>
          <w:b w:val="0"/>
          <w:noProof w:val="0"/>
          <w:sz w:val="20"/>
          <w:lang w:eastAsia="zh-CN"/>
        </w:rPr>
      </w:pPr>
    </w:p>
    <w:p w:rsidR="005E32C2" w:rsidRPr="00CA6898" w:rsidRDefault="005E32C2" w:rsidP="005E32C2">
      <w:pPr>
        <w:numPr>
          <w:ilvl w:val="3"/>
          <w:numId w:val="47"/>
        </w:numPr>
        <w:spacing w:after="0"/>
        <w:ind w:leftChars="230" w:left="760" w:hanging="300"/>
        <w:rPr>
          <w:rFonts w:ascii="Arial" w:eastAsia="等线" w:hAnsi="Arial" w:cs="Arial"/>
        </w:rPr>
      </w:pPr>
      <w:r w:rsidRPr="00CA6898">
        <w:rPr>
          <w:rFonts w:ascii="Arial" w:eastAsia="等线" w:hAnsi="Arial" w:cs="Arial"/>
        </w:rPr>
        <w:t xml:space="preserve">  CA power class or EN-DC power class is PC2</w:t>
      </w:r>
    </w:p>
    <w:p w:rsidR="005E32C2" w:rsidRPr="00CA6898" w:rsidRDefault="005E32C2" w:rsidP="005E32C2">
      <w:pPr>
        <w:numPr>
          <w:ilvl w:val="4"/>
          <w:numId w:val="48"/>
        </w:numPr>
        <w:spacing w:after="0"/>
        <w:ind w:leftChars="440" w:left="1300"/>
        <w:rPr>
          <w:rFonts w:ascii="Arial" w:eastAsia="等线" w:hAnsi="Arial" w:cs="Arial"/>
        </w:rPr>
      </w:pPr>
      <w:r w:rsidRPr="00CA6898">
        <w:rPr>
          <w:rFonts w:ascii="Arial" w:eastAsia="等线" w:hAnsi="Arial" w:cs="Arial"/>
        </w:rPr>
        <w:t>PC3 FDD band 1Tx + PC2 TDD band 2Tx (UL MIMO and TxD)</w:t>
      </w:r>
    </w:p>
    <w:p w:rsidR="005E32C2" w:rsidRPr="00CA6898" w:rsidRDefault="005E32C2" w:rsidP="005E32C2">
      <w:pPr>
        <w:numPr>
          <w:ilvl w:val="4"/>
          <w:numId w:val="48"/>
        </w:numPr>
        <w:spacing w:after="0"/>
        <w:ind w:leftChars="440" w:left="1300"/>
        <w:rPr>
          <w:rFonts w:ascii="Arial" w:eastAsia="等线" w:hAnsi="Arial" w:cs="Arial"/>
        </w:rPr>
      </w:pPr>
      <w:r w:rsidRPr="00CA6898">
        <w:rPr>
          <w:rFonts w:ascii="Arial" w:eastAsia="等线" w:hAnsi="Arial" w:cs="Arial"/>
        </w:rPr>
        <w:t>PC3 FDD band 1Tx + PC3 TDD band 2Tx (UL MIMO)</w:t>
      </w:r>
    </w:p>
    <w:p w:rsidR="005E32C2" w:rsidRPr="00CA6898" w:rsidRDefault="005E32C2" w:rsidP="005E32C2">
      <w:pPr>
        <w:numPr>
          <w:ilvl w:val="4"/>
          <w:numId w:val="48"/>
        </w:numPr>
        <w:spacing w:after="0"/>
        <w:ind w:leftChars="440" w:left="1300"/>
        <w:rPr>
          <w:rFonts w:ascii="Arial" w:eastAsia="等线" w:hAnsi="Arial" w:cs="Arial"/>
        </w:rPr>
      </w:pPr>
      <w:r w:rsidRPr="00CA6898">
        <w:rPr>
          <w:rFonts w:ascii="Arial" w:eastAsia="等线" w:hAnsi="Arial" w:cs="Arial"/>
        </w:rPr>
        <w:t>PC3 TDD band 1Tx + PC2 TDD band 2Tx (UL MIMO)</w:t>
      </w:r>
    </w:p>
    <w:p w:rsidR="005E32C2" w:rsidRPr="00CA6898" w:rsidRDefault="005E32C2" w:rsidP="005E32C2">
      <w:pPr>
        <w:numPr>
          <w:ilvl w:val="3"/>
          <w:numId w:val="47"/>
        </w:numPr>
        <w:spacing w:after="0"/>
        <w:ind w:leftChars="230" w:left="880"/>
        <w:rPr>
          <w:rFonts w:ascii="Arial" w:eastAsia="等线" w:hAnsi="Arial" w:cs="Arial"/>
        </w:rPr>
      </w:pPr>
      <w:r w:rsidRPr="00CA6898">
        <w:rPr>
          <w:rFonts w:ascii="Arial" w:eastAsia="等线" w:hAnsi="Arial" w:cs="Arial"/>
        </w:rPr>
        <w:t xml:space="preserve">  CA power class or EN-DC power class is PC1.5</w:t>
      </w:r>
    </w:p>
    <w:p w:rsidR="005E32C2" w:rsidRPr="00CA6898" w:rsidRDefault="005E32C2" w:rsidP="005E32C2">
      <w:pPr>
        <w:numPr>
          <w:ilvl w:val="4"/>
          <w:numId w:val="49"/>
        </w:numPr>
        <w:spacing w:after="0"/>
        <w:ind w:leftChars="440" w:left="1300"/>
        <w:rPr>
          <w:rFonts w:ascii="Arial" w:eastAsia="等线" w:hAnsi="Arial" w:cs="Arial"/>
        </w:rPr>
      </w:pPr>
      <w:r w:rsidRPr="00CA6898">
        <w:rPr>
          <w:rFonts w:ascii="Arial" w:eastAsia="等线" w:hAnsi="Arial" w:cs="Arial"/>
        </w:rPr>
        <w:t>PC3 FDD band 1Tx + PC1.5 TDD band 2Tx (UL MIMO and TxD)</w:t>
      </w:r>
    </w:p>
    <w:p w:rsidR="005E32C2" w:rsidRPr="00BB4720" w:rsidRDefault="005E32C2" w:rsidP="005E32C2">
      <w:pPr>
        <w:pStyle w:val="Header"/>
        <w:jc w:val="both"/>
        <w:rPr>
          <w:rFonts w:eastAsia="宋体" w:cs="Arial"/>
          <w:b w:val="0"/>
          <w:noProof w:val="0"/>
          <w:sz w:val="20"/>
          <w:lang w:eastAsia="zh-CN"/>
        </w:rPr>
      </w:pPr>
    </w:p>
    <w:p w:rsidR="005E32C2" w:rsidRPr="0096793E" w:rsidRDefault="005E32C2" w:rsidP="005E32C2">
      <w:pPr>
        <w:pStyle w:val="Header"/>
        <w:jc w:val="both"/>
        <w:rPr>
          <w:rFonts w:cs="Arial"/>
        </w:rPr>
      </w:pPr>
      <w:r>
        <w:rPr>
          <w:rFonts w:eastAsia="宋体" w:cs="Arial" w:hint="eastAsia"/>
          <w:b w:val="0"/>
          <w:noProof w:val="0"/>
          <w:sz w:val="20"/>
          <w:lang w:eastAsia="zh-CN"/>
        </w:rPr>
        <w:t>w</w:t>
      </w:r>
      <w:r>
        <w:rPr>
          <w:rFonts w:eastAsia="宋体" w:cs="Arial"/>
          <w:b w:val="0"/>
          <w:noProof w:val="0"/>
          <w:sz w:val="20"/>
          <w:lang w:eastAsia="zh-CN"/>
        </w:rPr>
        <w:t>here TxD is supported for one of the bands in the CA/DC band combination. It was agreed in RAN4 that a new per band per band combination UE capability should be introduced for the new case to support TxD in a band combination. And it is also agreed that the new TxD capability should be enabled from Rel-1</w:t>
      </w:r>
      <w:r w:rsidR="00747077">
        <w:rPr>
          <w:rFonts w:eastAsia="宋体" w:cs="Arial"/>
          <w:b w:val="0"/>
          <w:noProof w:val="0"/>
          <w:sz w:val="20"/>
          <w:lang w:eastAsia="zh-CN"/>
        </w:rPr>
        <w:t>6</w:t>
      </w:r>
      <w:r>
        <w:rPr>
          <w:rFonts w:eastAsia="宋体" w:cs="Arial"/>
          <w:b w:val="0"/>
          <w:noProof w:val="0"/>
          <w:sz w:val="20"/>
          <w:lang w:eastAsia="zh-CN"/>
        </w:rPr>
        <w:t>.</w:t>
      </w:r>
    </w:p>
    <w:p w:rsidR="005E32C2" w:rsidRDefault="005E32C2" w:rsidP="005E32C2">
      <w:pPr>
        <w:pStyle w:val="Header"/>
        <w:rPr>
          <w:rFonts w:cs="Arial"/>
          <w:lang w:eastAsia="zh-CN"/>
        </w:rPr>
      </w:pPr>
    </w:p>
    <w:p w:rsidR="005E32C2" w:rsidRDefault="005E32C2" w:rsidP="005E32C2">
      <w:pPr>
        <w:pStyle w:val="Header"/>
        <w:rPr>
          <w:rFonts w:cs="Arial"/>
          <w:lang w:eastAsia="zh-CN"/>
        </w:rPr>
      </w:pPr>
    </w:p>
    <w:p w:rsidR="005E32C2" w:rsidRPr="000F4E43" w:rsidRDefault="005E32C2" w:rsidP="005E32C2">
      <w:pPr>
        <w:spacing w:after="120"/>
        <w:rPr>
          <w:rFonts w:ascii="Arial" w:hAnsi="Arial" w:cs="Arial"/>
          <w:b/>
        </w:rPr>
      </w:pPr>
      <w:r w:rsidRPr="000F4E43">
        <w:rPr>
          <w:rFonts w:ascii="Arial" w:hAnsi="Arial" w:cs="Arial"/>
          <w:b/>
        </w:rPr>
        <w:t>2. Actions:</w:t>
      </w:r>
    </w:p>
    <w:p w:rsidR="005E32C2" w:rsidRPr="000F4E43" w:rsidRDefault="005E32C2" w:rsidP="005E32C2">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rsidR="005E32C2" w:rsidRPr="00C024F9" w:rsidRDefault="005E32C2" w:rsidP="005E32C2">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RAN2 to introduce a per FS TxD capability from Rel-1</w:t>
      </w:r>
      <w:r w:rsidR="00747077">
        <w:rPr>
          <w:rFonts w:ascii="Arial" w:hAnsi="Arial" w:cs="Arial"/>
        </w:rPr>
        <w:t>6</w:t>
      </w:r>
      <w:r>
        <w:rPr>
          <w:rFonts w:ascii="Arial" w:hAnsi="Arial" w:cs="Arial"/>
        </w:rPr>
        <w:t>.</w:t>
      </w:r>
    </w:p>
    <w:p w:rsidR="005E32C2" w:rsidRPr="00D73DE6" w:rsidRDefault="005E32C2" w:rsidP="005E32C2">
      <w:pPr>
        <w:spacing w:after="120"/>
        <w:ind w:left="993" w:hanging="993"/>
        <w:rPr>
          <w:rFonts w:ascii="Arial" w:hAnsi="Arial" w:cs="Arial"/>
        </w:rPr>
      </w:pPr>
    </w:p>
    <w:p w:rsidR="005E32C2" w:rsidRPr="000F4E43" w:rsidRDefault="005E32C2" w:rsidP="005E32C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817EB2" w:rsidRDefault="005E32C2" w:rsidP="004F335D">
      <w:pPr>
        <w:pStyle w:val="LGTdoc"/>
        <w:spacing w:afterLines="0"/>
        <w:rPr>
          <w:rFonts w:ascii="Arial" w:eastAsia="宋体" w:hAnsi="Arial" w:cs="Arial"/>
          <w:bCs/>
          <w:sz w:val="21"/>
        </w:rPr>
      </w:pPr>
      <w:r w:rsidRPr="00D73DE6">
        <w:rPr>
          <w:rFonts w:ascii="Arial" w:eastAsia="宋体" w:hAnsi="Arial" w:cs="Arial"/>
          <w:bCs/>
          <w:sz w:val="21"/>
        </w:rPr>
        <w:t>TSG-RAN</w:t>
      </w:r>
      <w:r>
        <w:rPr>
          <w:rFonts w:ascii="Arial" w:eastAsia="宋体" w:hAnsi="Arial" w:cs="Arial"/>
          <w:bCs/>
          <w:sz w:val="21"/>
        </w:rPr>
        <w:t>4</w:t>
      </w:r>
      <w:r w:rsidRPr="00D73DE6">
        <w:rPr>
          <w:rFonts w:ascii="Arial" w:eastAsia="宋体" w:hAnsi="Arial" w:cs="Arial"/>
          <w:bCs/>
          <w:sz w:val="21"/>
        </w:rPr>
        <w:t xml:space="preserve"> Meeting#</w:t>
      </w:r>
      <w:r>
        <w:rPr>
          <w:rFonts w:ascii="Arial" w:eastAsia="宋体" w:hAnsi="Arial" w:cs="Arial"/>
          <w:bCs/>
          <w:sz w:val="21"/>
        </w:rPr>
        <w:t xml:space="preserve">109 </w:t>
      </w:r>
      <w:r w:rsidRPr="00D73DE6">
        <w:rPr>
          <w:rFonts w:ascii="Arial" w:eastAsia="宋体" w:hAnsi="Arial" w:cs="Arial"/>
          <w:bCs/>
          <w:sz w:val="21"/>
        </w:rPr>
        <w:tab/>
        <w:t xml:space="preserve"> </w:t>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00176929">
        <w:rPr>
          <w:rFonts w:ascii="Arial" w:eastAsia="宋体" w:hAnsi="Arial" w:cs="Arial"/>
          <w:bCs/>
          <w:sz w:val="21"/>
        </w:rPr>
        <w:tab/>
      </w:r>
      <w:r>
        <w:rPr>
          <w:rFonts w:ascii="Arial" w:eastAsia="宋体" w:hAnsi="Arial" w:cs="Arial"/>
          <w:bCs/>
          <w:sz w:val="21"/>
        </w:rPr>
        <w:t>13</w:t>
      </w:r>
      <w:r>
        <w:rPr>
          <w:rFonts w:ascii="Arial" w:eastAsia="宋体" w:hAnsi="Arial" w:cs="Arial"/>
          <w:bCs/>
          <w:sz w:val="21"/>
          <w:vertAlign w:val="superscript"/>
        </w:rPr>
        <w:t>th</w:t>
      </w:r>
      <w:r w:rsidRPr="00D73DE6">
        <w:rPr>
          <w:rFonts w:ascii="Arial" w:eastAsia="宋体" w:hAnsi="Arial" w:cs="Arial"/>
          <w:bCs/>
          <w:sz w:val="21"/>
        </w:rPr>
        <w:t xml:space="preserve"> – </w:t>
      </w:r>
      <w:r>
        <w:rPr>
          <w:rFonts w:ascii="Arial" w:eastAsia="宋体" w:hAnsi="Arial" w:cs="Arial"/>
          <w:bCs/>
          <w:sz w:val="21"/>
        </w:rPr>
        <w:t>17</w:t>
      </w:r>
      <w:r w:rsidRPr="00D73DE6">
        <w:rPr>
          <w:rFonts w:ascii="Arial" w:eastAsia="宋体" w:hAnsi="Arial" w:cs="Arial"/>
          <w:bCs/>
          <w:sz w:val="21"/>
          <w:vertAlign w:val="superscript"/>
        </w:rPr>
        <w:t>th</w:t>
      </w:r>
      <w:r>
        <w:rPr>
          <w:rFonts w:ascii="Arial" w:eastAsia="宋体" w:hAnsi="Arial" w:cs="Arial"/>
          <w:bCs/>
          <w:sz w:val="21"/>
        </w:rPr>
        <w:t xml:space="preserve"> Nov</w:t>
      </w:r>
      <w:r w:rsidRPr="00D73DE6">
        <w:rPr>
          <w:rFonts w:ascii="Arial" w:eastAsia="宋体" w:hAnsi="Arial" w:cs="Arial"/>
          <w:bCs/>
          <w:sz w:val="21"/>
        </w:rPr>
        <w:t xml:space="preserve"> 202</w:t>
      </w:r>
      <w:r>
        <w:rPr>
          <w:rFonts w:ascii="Arial" w:eastAsia="宋体" w:hAnsi="Arial" w:cs="Arial"/>
          <w:bCs/>
          <w:sz w:val="21"/>
        </w:rPr>
        <w:t>3</w:t>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Pr>
          <w:rFonts w:ascii="Arial" w:eastAsia="宋体" w:hAnsi="Arial" w:cs="Arial"/>
          <w:bCs/>
          <w:sz w:val="21"/>
        </w:rPr>
        <w:tab/>
        <w:t>Chicago</w:t>
      </w:r>
      <w:r w:rsidR="009E6FD9">
        <w:rPr>
          <w:rFonts w:ascii="Arial" w:eastAsia="宋体" w:hAnsi="Arial" w:cs="Arial"/>
          <w:bCs/>
          <w:sz w:val="21"/>
        </w:rPr>
        <w:t>, USA</w:t>
      </w:r>
    </w:p>
    <w:p w:rsidR="00176929" w:rsidRPr="004F335D" w:rsidRDefault="00176929" w:rsidP="004F335D">
      <w:pPr>
        <w:pStyle w:val="LGTdoc"/>
        <w:spacing w:afterLines="0"/>
        <w:rPr>
          <w:rFonts w:ascii="Arial" w:hAnsi="Arial" w:cs="Arial"/>
          <w:sz w:val="20"/>
        </w:rPr>
      </w:pPr>
      <w:r w:rsidRPr="00D73DE6">
        <w:rPr>
          <w:rFonts w:ascii="Arial" w:eastAsia="宋体" w:hAnsi="Arial" w:cs="Arial"/>
          <w:bCs/>
          <w:sz w:val="21"/>
        </w:rPr>
        <w:t>TSG-RAN</w:t>
      </w:r>
      <w:r>
        <w:rPr>
          <w:rFonts w:ascii="Arial" w:eastAsia="宋体" w:hAnsi="Arial" w:cs="Arial"/>
          <w:bCs/>
          <w:sz w:val="21"/>
        </w:rPr>
        <w:t>4</w:t>
      </w:r>
      <w:r w:rsidRPr="00D73DE6">
        <w:rPr>
          <w:rFonts w:ascii="Arial" w:eastAsia="宋体" w:hAnsi="Arial" w:cs="Arial"/>
          <w:bCs/>
          <w:sz w:val="21"/>
        </w:rPr>
        <w:t xml:space="preserve"> Meeting#</w:t>
      </w:r>
      <w:r>
        <w:rPr>
          <w:rFonts w:ascii="Arial" w:eastAsia="宋体" w:hAnsi="Arial" w:cs="Arial"/>
          <w:bCs/>
          <w:sz w:val="21"/>
        </w:rPr>
        <w:t>110</w:t>
      </w:r>
      <w:r>
        <w:rPr>
          <w:rFonts w:ascii="Arial" w:eastAsia="宋体" w:hAnsi="Arial" w:cs="Arial"/>
          <w:bCs/>
          <w:sz w:val="21"/>
        </w:rPr>
        <w:tab/>
      </w:r>
      <w:r>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Pr>
          <w:rFonts w:ascii="Arial" w:eastAsia="宋体" w:hAnsi="Arial" w:cs="Arial"/>
          <w:bCs/>
          <w:sz w:val="21"/>
        </w:rPr>
        <w:tab/>
        <w:t>26</w:t>
      </w:r>
      <w:r w:rsidRPr="00D73DE6">
        <w:rPr>
          <w:rFonts w:ascii="Arial" w:eastAsia="宋体" w:hAnsi="Arial" w:cs="Arial"/>
          <w:bCs/>
          <w:sz w:val="21"/>
          <w:vertAlign w:val="superscript"/>
        </w:rPr>
        <w:t>th</w:t>
      </w:r>
      <w:r>
        <w:rPr>
          <w:rFonts w:ascii="Arial" w:eastAsia="宋体" w:hAnsi="Arial" w:cs="Arial"/>
          <w:bCs/>
          <w:sz w:val="21"/>
          <w:vertAlign w:val="superscript"/>
        </w:rPr>
        <w:t xml:space="preserve"> </w:t>
      </w:r>
      <w:r>
        <w:rPr>
          <w:rFonts w:ascii="Arial" w:eastAsia="宋体" w:hAnsi="Arial" w:cs="Arial"/>
          <w:bCs/>
          <w:sz w:val="21"/>
        </w:rPr>
        <w:t>Feb</w:t>
      </w:r>
      <w:r w:rsidRPr="00D73DE6">
        <w:rPr>
          <w:rFonts w:ascii="Arial" w:eastAsia="宋体" w:hAnsi="Arial" w:cs="Arial"/>
          <w:bCs/>
          <w:sz w:val="21"/>
        </w:rPr>
        <w:t xml:space="preserve"> – </w:t>
      </w:r>
      <w:r>
        <w:rPr>
          <w:rFonts w:ascii="Arial" w:eastAsia="宋体" w:hAnsi="Arial" w:cs="Arial"/>
          <w:bCs/>
          <w:sz w:val="21"/>
        </w:rPr>
        <w:t>01</w:t>
      </w:r>
      <w:r>
        <w:rPr>
          <w:rFonts w:ascii="Arial" w:eastAsia="宋体" w:hAnsi="Arial" w:cs="Arial"/>
          <w:bCs/>
          <w:sz w:val="21"/>
          <w:vertAlign w:val="superscript"/>
        </w:rPr>
        <w:t>st</w:t>
      </w:r>
      <w:r w:rsidRPr="00D73DE6">
        <w:rPr>
          <w:rFonts w:ascii="Arial" w:eastAsia="宋体" w:hAnsi="Arial" w:cs="Arial"/>
          <w:bCs/>
          <w:sz w:val="21"/>
        </w:rPr>
        <w:t xml:space="preserve"> </w:t>
      </w:r>
      <w:r>
        <w:rPr>
          <w:rFonts w:ascii="Arial" w:eastAsia="宋体" w:hAnsi="Arial" w:cs="Arial"/>
          <w:bCs/>
          <w:sz w:val="21"/>
        </w:rPr>
        <w:t>Mar</w:t>
      </w:r>
      <w:r w:rsidRPr="00D73DE6">
        <w:rPr>
          <w:rFonts w:ascii="Arial" w:eastAsia="宋体" w:hAnsi="Arial" w:cs="Arial"/>
          <w:bCs/>
          <w:sz w:val="21"/>
        </w:rPr>
        <w:t xml:space="preserve"> 202</w:t>
      </w:r>
      <w:r>
        <w:rPr>
          <w:rFonts w:ascii="Arial" w:eastAsia="宋体" w:hAnsi="Arial" w:cs="Arial"/>
          <w:bCs/>
          <w:sz w:val="21"/>
        </w:rPr>
        <w:t>3</w:t>
      </w:r>
      <w:r>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Pr>
          <w:rFonts w:ascii="Arial" w:eastAsia="宋体" w:hAnsi="Arial" w:cs="Arial"/>
          <w:bCs/>
          <w:sz w:val="21"/>
        </w:rPr>
        <w:t>Athens, Greece</w:t>
      </w:r>
    </w:p>
    <w:sectPr w:rsidR="00176929" w:rsidRPr="004F335D"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5176" w:rsidRDefault="00FF5176" w:rsidP="0052762B">
      <w:r>
        <w:separator/>
      </w:r>
    </w:p>
  </w:endnote>
  <w:endnote w:type="continuationSeparator" w:id="0">
    <w:p w:rsidR="00FF5176" w:rsidRDefault="00FF517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5176" w:rsidRDefault="00FF5176" w:rsidP="0052762B">
      <w:r>
        <w:separator/>
      </w:r>
    </w:p>
  </w:footnote>
  <w:footnote w:type="continuationSeparator" w:id="0">
    <w:p w:rsidR="00FF5176" w:rsidRDefault="00FF517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6"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9"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130345"/>
    <w:multiLevelType w:val="hybridMultilevel"/>
    <w:tmpl w:val="188055E0"/>
    <w:lvl w:ilvl="0" w:tplc="11207BF0">
      <w:start w:val="2"/>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3"/>
  </w:num>
  <w:num w:numId="3">
    <w:abstractNumId w:val="28"/>
  </w:num>
  <w:num w:numId="4">
    <w:abstractNumId w:val="41"/>
  </w:num>
  <w:num w:numId="5">
    <w:abstractNumId w:val="1"/>
  </w:num>
  <w:num w:numId="6">
    <w:abstractNumId w:val="40"/>
  </w:num>
  <w:num w:numId="7">
    <w:abstractNumId w:val="17"/>
  </w:num>
  <w:num w:numId="8">
    <w:abstractNumId w:val="31"/>
  </w:num>
  <w:num w:numId="9">
    <w:abstractNumId w:val="45"/>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7"/>
  </w:num>
  <w:num w:numId="20">
    <w:abstractNumId w:val="25"/>
  </w:num>
  <w:num w:numId="21">
    <w:abstractNumId w:val="14"/>
  </w:num>
  <w:num w:numId="22">
    <w:abstractNumId w:val="5"/>
  </w:num>
  <w:num w:numId="23">
    <w:abstractNumId w:val="24"/>
  </w:num>
  <w:num w:numId="24">
    <w:abstractNumId w:val="39"/>
  </w:num>
  <w:num w:numId="25">
    <w:abstractNumId w:val="8"/>
  </w:num>
  <w:num w:numId="26">
    <w:abstractNumId w:val="38"/>
  </w:num>
  <w:num w:numId="27">
    <w:abstractNumId w:val="36"/>
  </w:num>
  <w:num w:numId="28">
    <w:abstractNumId w:val="18"/>
  </w:num>
  <w:num w:numId="29">
    <w:abstractNumId w:val="44"/>
  </w:num>
  <w:num w:numId="30">
    <w:abstractNumId w:val="29"/>
  </w:num>
  <w:num w:numId="31">
    <w:abstractNumId w:val="16"/>
  </w:num>
  <w:num w:numId="32">
    <w:abstractNumId w:val="33"/>
  </w:num>
  <w:num w:numId="33">
    <w:abstractNumId w:val="6"/>
  </w:num>
  <w:num w:numId="34">
    <w:abstractNumId w:val="9"/>
  </w:num>
  <w:num w:numId="35">
    <w:abstractNumId w:val="34"/>
  </w:num>
  <w:num w:numId="36">
    <w:abstractNumId w:val="19"/>
  </w:num>
  <w:num w:numId="37">
    <w:abstractNumId w:val="7"/>
  </w:num>
  <w:num w:numId="38">
    <w:abstractNumId w:val="30"/>
  </w:num>
  <w:num w:numId="39">
    <w:abstractNumId w:val="3"/>
  </w:num>
  <w:num w:numId="40">
    <w:abstractNumId w:val="26"/>
  </w:num>
  <w:num w:numId="41">
    <w:abstractNumId w:val="15"/>
  </w:num>
  <w:num w:numId="42">
    <w:abstractNumId w:val="13"/>
  </w:num>
  <w:num w:numId="43">
    <w:abstractNumId w:val="21"/>
  </w:num>
  <w:num w:numId="44">
    <w:abstractNumId w:val="35"/>
  </w:num>
  <w:num w:numId="45">
    <w:abstractNumId w:val="43"/>
  </w:num>
  <w:num w:numId="46">
    <w:abstractNumId w:val="22"/>
  </w:num>
  <w:num w:numId="47">
    <w:abstractNumId w:val="32"/>
  </w:num>
  <w:num w:numId="48">
    <w:abstractNumId w:val="37"/>
  </w:num>
  <w:num w:numId="49">
    <w:abstractNumId w:val="4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6CE"/>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0D6E"/>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111F"/>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4A"/>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D8D"/>
    <w:rsid w:val="00123086"/>
    <w:rsid w:val="00123389"/>
    <w:rsid w:val="00123E56"/>
    <w:rsid w:val="001243AC"/>
    <w:rsid w:val="00124AA9"/>
    <w:rsid w:val="001253DF"/>
    <w:rsid w:val="00125824"/>
    <w:rsid w:val="001258D2"/>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AF8"/>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929"/>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2F1E"/>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1B"/>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1BA6"/>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97871"/>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1E0"/>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37"/>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1D23"/>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1A8F"/>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335D"/>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652"/>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B9D"/>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32C2"/>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53D"/>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B7"/>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4EA1"/>
    <w:rsid w:val="006D5ED9"/>
    <w:rsid w:val="006D6620"/>
    <w:rsid w:val="006D69F9"/>
    <w:rsid w:val="006D7020"/>
    <w:rsid w:val="006D7219"/>
    <w:rsid w:val="006E09A8"/>
    <w:rsid w:val="006E0CC1"/>
    <w:rsid w:val="006E0F17"/>
    <w:rsid w:val="006E12C2"/>
    <w:rsid w:val="006E1301"/>
    <w:rsid w:val="006E159E"/>
    <w:rsid w:val="006E1D2E"/>
    <w:rsid w:val="006E2A66"/>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077"/>
    <w:rsid w:val="00747198"/>
    <w:rsid w:val="00747400"/>
    <w:rsid w:val="0075063F"/>
    <w:rsid w:val="0075069C"/>
    <w:rsid w:val="007507DC"/>
    <w:rsid w:val="00750BE6"/>
    <w:rsid w:val="0075133B"/>
    <w:rsid w:val="007517D4"/>
    <w:rsid w:val="00751AE7"/>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0C1F"/>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0CC"/>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17EB2"/>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0718B"/>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D8A"/>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6FD9"/>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07951"/>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34A"/>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6DC5"/>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674"/>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6AFD"/>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0F6"/>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CBC"/>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57D3C"/>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52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898"/>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BAF"/>
    <w:rsid w:val="00CF7DD7"/>
    <w:rsid w:val="00D01453"/>
    <w:rsid w:val="00D017E5"/>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BC9"/>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DFB"/>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8E7"/>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176"/>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7AB7"/>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uiPriority w:val="99"/>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uiPriority w:val="99"/>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1840E-57FB-488B-AE79-345FCDBE0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1005</Words>
  <Characters>5734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3</cp:revision>
  <cp:lastPrinted>2010-01-07T02:23:00Z</cp:lastPrinted>
  <dcterms:created xsi:type="dcterms:W3CDTF">2023-09-26T09:21:00Z</dcterms:created>
  <dcterms:modified xsi:type="dcterms:W3CDTF">2023-09-27T06:16:00Z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(3)SWk99kLocMK5rvdlLr7HrZW9QUrV+scCwWnJK3VZ9yaZW6MtPmlVW+UFa14BOnEcRofytnli
4VLk3aRSZWb6o8Rul4JQMSZ4ZoZEWjgVHFhDoXf26b6xGsRf1xIkAmmJ58RgDCYYOm/qyJUc
+obL6oYYbcFL6nWk5Ie8YDH9PqNwRodJM7sDwup5HEzv4lmDNUWlQTmkxIiLpFUUdHJMT64R
2n/BobRYoa8ip+oeWg</vt:lpwstr>
  </property>
  <property fmtid="{D5CDD505-2E9C-101B-9397-08002B2CF9AE}" pid="15" name="_2015_ms_pID_725343_00">
    <vt:lpwstr>_2015_ms_pID_725343</vt:lpwstr>
  </property>
  <property fmtid="{D5CDD505-2E9C-101B-9397-08002B2CF9AE}" pid="16" name="_2015_ms_pID_7253431">
    <vt:lpwstr>Tk3I9gUraXDZzSnDQGXrCCuCj6QxJMEYIv0gI3lrQmCXgDP+XrHS95
FZGsFnAhrLSRXa4tXZ5HBBLRylmQq9ImNI7/08E/YFkL3lZL2MqGpmVEOpdX268UqDNCdsKI
m64Kamps6Uep4XcFu8h3npCR0v2bD2KLuCnH6yqu0GjLJ7YP/9CPIq60/eBGN7+LchdBKKss
7W+gTMrCa3kP9q9tc3mjpafie5LSgpzczDDe</vt:lpwstr>
  </property>
  <property fmtid="{D5CDD505-2E9C-101B-9397-08002B2CF9AE}" pid="17" name="_2015_ms_pID_7253431_00">
    <vt:lpwstr>_2015_ms_pID_7253431</vt:lpwstr>
  </property>
  <property fmtid="{D5CDD505-2E9C-101B-9397-08002B2CF9AE}" pid="18" name="_2015_ms_pID_7253432">
    <vt:lpwstr>RL7ZuMIbD6LbG4sGzkk9VHQ=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